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5A3" w:rsidRDefault="007D2755">
      <w:pPr>
        <w:jc w:val="center"/>
        <w:rPr>
          <w:rFonts w:ascii="宋体" w:eastAsia="宋体" w:hAnsi="宋体" w:cs="宋体"/>
          <w:b/>
          <w:bCs/>
          <w:sz w:val="44"/>
          <w:szCs w:val="44"/>
        </w:rPr>
      </w:pPr>
      <w:r>
        <w:rPr>
          <w:rFonts w:ascii="方正小标宋简体" w:eastAsia="方正小标宋简体" w:hAnsi="方正小标宋简体" w:cs="方正小标宋简体" w:hint="eastAsia"/>
          <w:sz w:val="44"/>
          <w:szCs w:val="44"/>
        </w:rPr>
        <w:t>2016</w:t>
      </w:r>
      <w:r>
        <w:rPr>
          <w:rFonts w:ascii="方正小标宋简体" w:eastAsia="方正小标宋简体" w:hAnsi="方正小标宋简体" w:cs="方正小标宋简体" w:hint="eastAsia"/>
          <w:sz w:val="44"/>
          <w:szCs w:val="44"/>
        </w:rPr>
        <w:t>年度霸州市城市管理行政执法局决算信息公开情况</w:t>
      </w:r>
    </w:p>
    <w:p w:rsidR="001415A3" w:rsidRDefault="001415A3">
      <w:pPr>
        <w:jc w:val="center"/>
        <w:rPr>
          <w:rFonts w:ascii="宋体" w:eastAsia="宋体" w:hAnsi="宋体" w:cs="宋体"/>
          <w:b/>
          <w:bCs/>
          <w:sz w:val="44"/>
          <w:szCs w:val="44"/>
        </w:rPr>
      </w:pPr>
    </w:p>
    <w:p w:rsidR="001415A3" w:rsidRDefault="007D2755">
      <w:pPr>
        <w:pStyle w:val="a6"/>
        <w:spacing w:line="600" w:lineRule="exact"/>
        <w:ind w:firstLine="640"/>
        <w:rPr>
          <w:rFonts w:ascii="仿宋" w:eastAsia="仿宋" w:hAnsi="仿宋" w:cs="仿宋"/>
          <w:sz w:val="32"/>
          <w:szCs w:val="32"/>
        </w:rPr>
      </w:pPr>
      <w:r>
        <w:rPr>
          <w:rFonts w:ascii="仿宋" w:eastAsia="仿宋" w:hAnsi="仿宋" w:cs="仿宋" w:hint="eastAsia"/>
          <w:sz w:val="32"/>
          <w:szCs w:val="32"/>
        </w:rPr>
        <w:t>按照《预算法》、《河北省财政厅关于印发</w:t>
      </w:r>
      <w:r>
        <w:rPr>
          <w:rFonts w:ascii="仿宋" w:eastAsia="仿宋" w:hAnsi="仿宋" w:cs="仿宋" w:hint="eastAsia"/>
          <w:sz w:val="32"/>
          <w:szCs w:val="32"/>
        </w:rPr>
        <w:t>&lt;</w:t>
      </w:r>
      <w:r>
        <w:rPr>
          <w:rFonts w:ascii="仿宋" w:eastAsia="仿宋" w:hAnsi="仿宋" w:cs="仿宋" w:hint="eastAsia"/>
          <w:sz w:val="32"/>
          <w:szCs w:val="32"/>
        </w:rPr>
        <w:t>河北省预决算公开操作规程实施细则</w:t>
      </w:r>
      <w:r>
        <w:rPr>
          <w:rFonts w:ascii="仿宋" w:eastAsia="仿宋" w:hAnsi="仿宋" w:cs="仿宋" w:hint="eastAsia"/>
          <w:sz w:val="32"/>
          <w:szCs w:val="32"/>
        </w:rPr>
        <w:t>&gt;</w:t>
      </w:r>
      <w:r>
        <w:rPr>
          <w:rFonts w:ascii="仿宋" w:eastAsia="仿宋" w:hAnsi="仿宋" w:cs="仿宋" w:hint="eastAsia"/>
          <w:sz w:val="32"/>
          <w:szCs w:val="32"/>
        </w:rPr>
        <w:t>的通知》（冀财预｛</w:t>
      </w:r>
      <w:r>
        <w:rPr>
          <w:rFonts w:ascii="仿宋" w:eastAsia="仿宋" w:hAnsi="仿宋" w:cs="仿宋" w:hint="eastAsia"/>
          <w:sz w:val="32"/>
          <w:szCs w:val="32"/>
        </w:rPr>
        <w:t>2016</w:t>
      </w:r>
      <w:r>
        <w:rPr>
          <w:rFonts w:ascii="仿宋" w:eastAsia="仿宋" w:hAnsi="仿宋" w:cs="仿宋" w:hint="eastAsia"/>
          <w:sz w:val="32"/>
          <w:szCs w:val="32"/>
        </w:rPr>
        <w:t>｝</w:t>
      </w:r>
      <w:r>
        <w:rPr>
          <w:rFonts w:ascii="仿宋" w:eastAsia="仿宋" w:hAnsi="仿宋" w:cs="仿宋" w:hint="eastAsia"/>
          <w:sz w:val="32"/>
          <w:szCs w:val="32"/>
        </w:rPr>
        <w:t>129</w:t>
      </w:r>
      <w:r>
        <w:rPr>
          <w:rFonts w:ascii="仿宋" w:eastAsia="仿宋" w:hAnsi="仿宋" w:cs="仿宋" w:hint="eastAsia"/>
          <w:sz w:val="32"/>
          <w:szCs w:val="32"/>
        </w:rPr>
        <w:t>号）等规定，现将</w:t>
      </w:r>
      <w:r>
        <w:rPr>
          <w:rFonts w:ascii="仿宋" w:eastAsia="仿宋" w:hAnsi="仿宋" w:cs="仿宋" w:hint="eastAsia"/>
          <w:sz w:val="32"/>
          <w:szCs w:val="32"/>
        </w:rPr>
        <w:t>2016</w:t>
      </w:r>
      <w:r>
        <w:rPr>
          <w:rFonts w:ascii="仿宋" w:eastAsia="仿宋" w:hAnsi="仿宋" w:cs="仿宋" w:hint="eastAsia"/>
          <w:sz w:val="32"/>
          <w:szCs w:val="32"/>
        </w:rPr>
        <w:t>年部门决算公开如下：</w:t>
      </w:r>
    </w:p>
    <w:p w:rsidR="001415A3" w:rsidRDefault="007D2755">
      <w:pPr>
        <w:spacing w:line="600" w:lineRule="exact"/>
        <w:ind w:firstLineChars="200" w:firstLine="640"/>
        <w:rPr>
          <w:rFonts w:ascii="黑体" w:eastAsia="黑体" w:hAnsiTheme="majorEastAsia" w:cs="Times New Roman"/>
          <w:bCs/>
          <w:sz w:val="32"/>
          <w:szCs w:val="32"/>
        </w:rPr>
      </w:pPr>
      <w:r>
        <w:rPr>
          <w:rFonts w:ascii="黑体" w:eastAsia="黑体" w:hAnsiTheme="majorEastAsia" w:cs="Times New Roman" w:hint="eastAsia"/>
          <w:bCs/>
          <w:sz w:val="32"/>
          <w:szCs w:val="32"/>
        </w:rPr>
        <w:t>一、部门职责及机构设置情况</w:t>
      </w:r>
    </w:p>
    <w:p w:rsidR="001415A3" w:rsidRDefault="007D2755">
      <w:pPr>
        <w:spacing w:line="600" w:lineRule="exact"/>
        <w:ind w:firstLineChars="200" w:firstLine="643"/>
        <w:rPr>
          <w:rFonts w:ascii="楷体" w:eastAsia="楷体" w:hAnsi="楷体" w:cs="楷体"/>
          <w:b/>
          <w:sz w:val="32"/>
          <w:szCs w:val="32"/>
        </w:rPr>
      </w:pPr>
      <w:r>
        <w:rPr>
          <w:rFonts w:ascii="楷体" w:eastAsia="楷体" w:hAnsi="楷体" w:cs="楷体" w:hint="eastAsia"/>
          <w:b/>
          <w:sz w:val="32"/>
          <w:szCs w:val="32"/>
        </w:rPr>
        <w:t>部门职责：</w:t>
      </w:r>
    </w:p>
    <w:p w:rsidR="001415A3" w:rsidRDefault="007D275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（一）根据国家和省、廊坊市及我市城市管理方面的法律、法规、规章，拟定全市城市管理规章制度，并付诸实施。</w:t>
      </w:r>
    </w:p>
    <w:p w:rsidR="001415A3" w:rsidRDefault="007D275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（二）行使市容环境卫生管理方面法律、法规、规章规定的全部行政处罚权；履行市容环境卫生管理方面法律、法规、规章规定的有关职责</w:t>
      </w:r>
    </w:p>
    <w:p w:rsidR="001415A3" w:rsidRDefault="007D275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（三）行使城市绿化管理方面法律、法规、规章规定的全部行政处罚权；</w:t>
      </w:r>
    </w:p>
    <w:p w:rsidR="001415A3" w:rsidRDefault="007D275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（四）行使城乡规划管理方面法律、法规、规章规定的全部行政处罚权；对城乡规划范围内未取得建设工程规划许可证或者违反建设工程规划许可证的建设工程实施处罚；按城市规划行使审核、监</w:t>
      </w:r>
      <w:r>
        <w:rPr>
          <w:rFonts w:ascii="仿宋" w:eastAsia="仿宋" w:hAnsi="仿宋" w:cs="仿宋" w:hint="eastAsia"/>
          <w:sz w:val="32"/>
          <w:szCs w:val="32"/>
        </w:rPr>
        <w:lastRenderedPageBreak/>
        <w:t>督、处罚权；按有关规定和法定程序，强制拆除违法建筑物或者设施</w:t>
      </w:r>
    </w:p>
    <w:p w:rsidR="001415A3" w:rsidRDefault="007D275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（五）行使工商行政管理方面法律、法规、规章规定的对无照商贩的监督管理和行政处罚权；</w:t>
      </w:r>
    </w:p>
    <w:p w:rsidR="001415A3" w:rsidRDefault="007D275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（六）行使对侵占城市规划区内人行道、公共场地等行为的行政处罚权；行使临时占道审批管理权及依法收取占道费</w:t>
      </w:r>
    </w:p>
    <w:p w:rsidR="001415A3" w:rsidRDefault="007D275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（七）行使市政、公用设施</w:t>
      </w:r>
      <w:r>
        <w:rPr>
          <w:rFonts w:ascii="仿宋" w:eastAsia="仿宋" w:hAnsi="仿宋" w:cs="仿宋" w:hint="eastAsia"/>
          <w:sz w:val="32"/>
          <w:szCs w:val="32"/>
        </w:rPr>
        <w:t>管理方面法律、法规、规章规定的全部行政处罚权</w:t>
      </w:r>
    </w:p>
    <w:p w:rsidR="001415A3" w:rsidRDefault="007D275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（八）行使对基础设施施工现场和建筑工地围场作业的监督管理和行政处罚权</w:t>
      </w:r>
    </w:p>
    <w:p w:rsidR="001415A3" w:rsidRDefault="007D275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（九）行使环境保护方面法律、法规、规章规定的室外噪音扰民等环境污染的行政处罚权</w:t>
      </w:r>
    </w:p>
    <w:p w:rsidR="001415A3" w:rsidRDefault="007D275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（十）行使对市区各种客运出租车辆的营运审核权和行政处罚权</w:t>
      </w:r>
    </w:p>
    <w:p w:rsidR="001415A3" w:rsidRDefault="007D275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（十一）行使交通运输管理方面法律、法规、规章规定的对市区内散装货物运输的监督管理和行政处罚权</w:t>
      </w:r>
    </w:p>
    <w:p w:rsidR="001415A3" w:rsidRDefault="007D275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（十二）依据有关法律、法规、规章，负责城市管理相关规定、通告、通知等规范性文件的起草、宣传、贯彻落实工作</w:t>
      </w:r>
    </w:p>
    <w:p w:rsidR="001415A3" w:rsidRDefault="007D275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（十三）负责受理上级批转的信访案件和群众举报案件及办理人大</w:t>
      </w:r>
      <w:r>
        <w:rPr>
          <w:rFonts w:ascii="仿宋" w:eastAsia="仿宋" w:hAnsi="仿宋" w:cs="仿宋" w:hint="eastAsia"/>
          <w:sz w:val="32"/>
          <w:szCs w:val="32"/>
        </w:rPr>
        <w:t>、政协建议、提案工作</w:t>
      </w:r>
    </w:p>
    <w:p w:rsidR="001415A3" w:rsidRDefault="007D275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（十四）负责干部职工思想政治教育及业务培训工作，局内党（团）员的发展、教育、管理工作，工、青、妇及计划生育、安全保卫工作</w:t>
      </w:r>
    </w:p>
    <w:p w:rsidR="001415A3" w:rsidRDefault="007D275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（十五）履行法律、法规、规章或者省、廊坊市及我市人民政府规定的其他职责</w:t>
      </w:r>
    </w:p>
    <w:p w:rsidR="001415A3" w:rsidRDefault="007D2755">
      <w:pPr>
        <w:autoSpaceDE w:val="0"/>
        <w:autoSpaceDN w:val="0"/>
        <w:adjustRightInd w:val="0"/>
        <w:spacing w:line="600" w:lineRule="exact"/>
        <w:ind w:firstLineChars="200" w:firstLine="643"/>
        <w:jc w:val="left"/>
        <w:rPr>
          <w:rFonts w:ascii="楷体" w:eastAsia="楷体" w:hAnsi="楷体" w:cs="楷体"/>
          <w:b/>
          <w:sz w:val="32"/>
          <w:szCs w:val="32"/>
        </w:rPr>
      </w:pPr>
      <w:r>
        <w:rPr>
          <w:rFonts w:ascii="楷体" w:eastAsia="楷体" w:hAnsi="楷体" w:cs="楷体" w:hint="eastAsia"/>
          <w:b/>
          <w:sz w:val="32"/>
          <w:szCs w:val="32"/>
        </w:rPr>
        <w:t>机构设置：</w:t>
      </w:r>
    </w:p>
    <w:p w:rsidR="001415A3" w:rsidRDefault="007D2755">
      <w:pPr>
        <w:pStyle w:val="a5"/>
        <w:spacing w:before="0" w:beforeAutospacing="0" w:after="0" w:afterAutospacing="0"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（一）单位性质：行政</w:t>
      </w:r>
    </w:p>
    <w:p w:rsidR="001415A3" w:rsidRDefault="007D2755">
      <w:pPr>
        <w:pStyle w:val="a5"/>
        <w:spacing w:before="0" w:beforeAutospacing="0" w:after="0" w:afterAutospacing="0"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（二）单位规格：正科级</w:t>
      </w:r>
    </w:p>
    <w:p w:rsidR="001415A3" w:rsidRDefault="007D2755">
      <w:pPr>
        <w:pStyle w:val="a5"/>
        <w:spacing w:before="0" w:beforeAutospacing="0" w:after="0" w:afterAutospacing="0"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（三）经费保障形式：财政拨款</w:t>
      </w:r>
    </w:p>
    <w:p w:rsidR="001415A3" w:rsidRDefault="007D2755">
      <w:pPr>
        <w:pStyle w:val="a5"/>
        <w:spacing w:before="0" w:beforeAutospacing="0" w:after="0" w:afterAutospacing="0"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（四）编制人数：行政</w:t>
      </w:r>
      <w:r>
        <w:rPr>
          <w:rFonts w:ascii="仿宋" w:eastAsia="仿宋" w:hAnsi="仿宋" w:hint="eastAsia"/>
          <w:color w:val="000000"/>
          <w:sz w:val="32"/>
          <w:szCs w:val="32"/>
        </w:rPr>
        <w:t>13</w:t>
      </w:r>
      <w:r>
        <w:rPr>
          <w:rFonts w:ascii="仿宋" w:eastAsia="仿宋" w:hAnsi="仿宋" w:hint="eastAsia"/>
          <w:color w:val="000000"/>
          <w:sz w:val="32"/>
          <w:szCs w:val="32"/>
        </w:rPr>
        <w:t>人；事业</w:t>
      </w:r>
      <w:r>
        <w:rPr>
          <w:rFonts w:ascii="仿宋" w:eastAsia="仿宋" w:hAnsi="仿宋" w:hint="eastAsia"/>
          <w:color w:val="000000"/>
          <w:sz w:val="32"/>
          <w:szCs w:val="32"/>
        </w:rPr>
        <w:t>148</w:t>
      </w:r>
      <w:r>
        <w:rPr>
          <w:rFonts w:ascii="仿宋" w:eastAsia="仿宋" w:hAnsi="仿宋" w:hint="eastAsia"/>
          <w:color w:val="000000"/>
          <w:sz w:val="32"/>
          <w:szCs w:val="32"/>
        </w:rPr>
        <w:t>人</w:t>
      </w:r>
    </w:p>
    <w:p w:rsidR="001415A3" w:rsidRDefault="007D2755">
      <w:pPr>
        <w:spacing w:line="600" w:lineRule="exact"/>
        <w:ind w:firstLineChars="200" w:firstLine="640"/>
        <w:rPr>
          <w:rFonts w:ascii="黑体" w:eastAsia="黑体" w:hAnsiTheme="majorEastAsia" w:cs="Times New Roman"/>
          <w:bCs/>
          <w:sz w:val="32"/>
          <w:szCs w:val="32"/>
        </w:rPr>
      </w:pPr>
      <w:r>
        <w:rPr>
          <w:rFonts w:ascii="黑体" w:eastAsia="黑体" w:hAnsiTheme="majorEastAsia" w:cs="Times New Roman" w:hint="eastAsia"/>
          <w:bCs/>
          <w:sz w:val="32"/>
          <w:szCs w:val="32"/>
        </w:rPr>
        <w:t>二、部门决算报表（附表）</w:t>
      </w:r>
    </w:p>
    <w:p w:rsidR="001415A3" w:rsidRDefault="007D2755">
      <w:pPr>
        <w:pStyle w:val="a5"/>
        <w:spacing w:before="0" w:beforeAutospacing="0" w:after="0" w:afterAutospacing="0" w:line="600" w:lineRule="exact"/>
        <w:ind w:firstLineChars="200" w:firstLine="640"/>
        <w:rPr>
          <w:rFonts w:ascii="仿宋" w:eastAsia="仿宋" w:hAnsi="仿宋"/>
          <w:color w:val="000000"/>
          <w:sz w:val="32"/>
          <w:szCs w:val="32"/>
        </w:rPr>
      </w:pPr>
      <w:r>
        <w:rPr>
          <w:rFonts w:ascii="仿宋" w:eastAsia="仿宋" w:hAnsi="仿宋"/>
          <w:color w:val="000000"/>
          <w:sz w:val="32"/>
          <w:szCs w:val="32"/>
        </w:rPr>
        <w:t>（一）</w:t>
      </w:r>
      <w:r>
        <w:rPr>
          <w:rFonts w:ascii="仿宋" w:eastAsia="仿宋" w:hAnsi="仿宋" w:hint="eastAsia"/>
          <w:color w:val="000000"/>
          <w:sz w:val="32"/>
          <w:szCs w:val="32"/>
        </w:rPr>
        <w:t>收入支出决算总表</w:t>
      </w:r>
    </w:p>
    <w:p w:rsidR="001415A3" w:rsidRDefault="007D2755">
      <w:pPr>
        <w:pStyle w:val="a5"/>
        <w:spacing w:before="0" w:beforeAutospacing="0" w:after="0" w:afterAutospacing="0" w:line="600" w:lineRule="exact"/>
        <w:ind w:firstLineChars="200" w:firstLine="640"/>
        <w:rPr>
          <w:rFonts w:ascii="仿宋" w:eastAsia="仿宋" w:hAnsi="仿宋"/>
          <w:color w:val="000000"/>
          <w:sz w:val="32"/>
          <w:szCs w:val="32"/>
        </w:rPr>
      </w:pPr>
      <w:r>
        <w:rPr>
          <w:rFonts w:ascii="仿宋" w:eastAsia="仿宋" w:hAnsi="仿宋"/>
          <w:color w:val="000000"/>
          <w:sz w:val="32"/>
          <w:szCs w:val="32"/>
        </w:rPr>
        <w:t>（二）</w:t>
      </w:r>
      <w:r>
        <w:rPr>
          <w:rFonts w:ascii="仿宋" w:eastAsia="仿宋" w:hAnsi="仿宋" w:hint="eastAsia"/>
          <w:color w:val="000000"/>
          <w:sz w:val="32"/>
          <w:szCs w:val="32"/>
        </w:rPr>
        <w:t>收入决算表</w:t>
      </w:r>
    </w:p>
    <w:p w:rsidR="001415A3" w:rsidRDefault="007D2755">
      <w:pPr>
        <w:pStyle w:val="a5"/>
        <w:spacing w:before="0" w:beforeAutospacing="0" w:after="0" w:afterAutospacing="0" w:line="600" w:lineRule="exact"/>
        <w:ind w:firstLineChars="200" w:firstLine="640"/>
        <w:rPr>
          <w:rFonts w:ascii="仿宋" w:eastAsia="仿宋" w:hAnsi="仿宋"/>
          <w:color w:val="000000"/>
          <w:sz w:val="32"/>
          <w:szCs w:val="32"/>
        </w:rPr>
      </w:pPr>
      <w:r>
        <w:rPr>
          <w:rFonts w:ascii="仿宋" w:eastAsia="仿宋" w:hAnsi="仿宋"/>
          <w:color w:val="000000"/>
          <w:sz w:val="32"/>
          <w:szCs w:val="32"/>
        </w:rPr>
        <w:t>（三）</w:t>
      </w:r>
      <w:r>
        <w:rPr>
          <w:rFonts w:ascii="仿宋" w:eastAsia="仿宋" w:hAnsi="仿宋" w:hint="eastAsia"/>
          <w:color w:val="000000"/>
          <w:sz w:val="32"/>
          <w:szCs w:val="32"/>
        </w:rPr>
        <w:t>支出决算表</w:t>
      </w:r>
    </w:p>
    <w:p w:rsidR="001415A3" w:rsidRDefault="007D2755">
      <w:pPr>
        <w:pStyle w:val="a5"/>
        <w:spacing w:before="0" w:beforeAutospacing="0" w:after="0" w:afterAutospacing="0" w:line="600" w:lineRule="exact"/>
        <w:ind w:firstLineChars="200" w:firstLine="640"/>
        <w:rPr>
          <w:rFonts w:ascii="仿宋" w:eastAsia="仿宋" w:hAnsi="仿宋"/>
          <w:color w:val="000000"/>
          <w:sz w:val="32"/>
          <w:szCs w:val="32"/>
        </w:rPr>
      </w:pPr>
      <w:r>
        <w:rPr>
          <w:rFonts w:ascii="仿宋" w:eastAsia="仿宋" w:hAnsi="仿宋"/>
          <w:color w:val="000000"/>
          <w:sz w:val="32"/>
          <w:szCs w:val="32"/>
        </w:rPr>
        <w:t>（四）</w:t>
      </w:r>
      <w:r>
        <w:rPr>
          <w:rFonts w:ascii="仿宋" w:eastAsia="仿宋" w:hAnsi="仿宋" w:hint="eastAsia"/>
          <w:color w:val="000000"/>
          <w:sz w:val="32"/>
          <w:szCs w:val="32"/>
        </w:rPr>
        <w:t>财政拨款收入支出决算总表</w:t>
      </w:r>
    </w:p>
    <w:p w:rsidR="001415A3" w:rsidRDefault="007D2755">
      <w:pPr>
        <w:pStyle w:val="a5"/>
        <w:spacing w:before="0" w:beforeAutospacing="0" w:after="0" w:afterAutospacing="0" w:line="600" w:lineRule="exact"/>
        <w:ind w:firstLineChars="200" w:firstLine="640"/>
        <w:rPr>
          <w:rFonts w:ascii="仿宋" w:eastAsia="仿宋" w:hAnsi="仿宋"/>
          <w:color w:val="000000"/>
          <w:sz w:val="32"/>
          <w:szCs w:val="32"/>
        </w:rPr>
      </w:pPr>
      <w:r>
        <w:rPr>
          <w:rFonts w:ascii="仿宋" w:eastAsia="仿宋" w:hAnsi="仿宋"/>
          <w:color w:val="000000"/>
          <w:sz w:val="32"/>
          <w:szCs w:val="32"/>
        </w:rPr>
        <w:lastRenderedPageBreak/>
        <w:t>（五）一般公共预算财政拨款支出决算表</w:t>
      </w:r>
    </w:p>
    <w:p w:rsidR="001415A3" w:rsidRDefault="007D2755">
      <w:pPr>
        <w:pStyle w:val="a5"/>
        <w:spacing w:before="0" w:beforeAutospacing="0" w:after="0" w:afterAutospacing="0" w:line="600" w:lineRule="exact"/>
        <w:ind w:firstLineChars="200" w:firstLine="640"/>
        <w:rPr>
          <w:rFonts w:ascii="仿宋" w:eastAsia="仿宋" w:hAnsi="仿宋"/>
          <w:color w:val="000000"/>
          <w:sz w:val="32"/>
          <w:szCs w:val="32"/>
        </w:rPr>
      </w:pPr>
      <w:r>
        <w:rPr>
          <w:rFonts w:ascii="仿宋" w:eastAsia="仿宋" w:hAnsi="仿宋"/>
          <w:color w:val="000000"/>
          <w:sz w:val="32"/>
          <w:szCs w:val="32"/>
        </w:rPr>
        <w:t>（六）一般公共预算财政拨款基本支出决算表</w:t>
      </w:r>
    </w:p>
    <w:p w:rsidR="001415A3" w:rsidRDefault="007D2755">
      <w:pPr>
        <w:pStyle w:val="a5"/>
        <w:spacing w:before="0" w:beforeAutospacing="0" w:after="0" w:afterAutospacing="0"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（七）政府性基金预算财政拨款收入支出决算表</w:t>
      </w:r>
    </w:p>
    <w:p w:rsidR="001415A3" w:rsidRDefault="007D2755">
      <w:pPr>
        <w:pStyle w:val="a5"/>
        <w:spacing w:before="0" w:beforeAutospacing="0" w:after="0" w:afterAutospacing="0"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（八）国有资本经营预算财政拨款支出决算表</w:t>
      </w:r>
    </w:p>
    <w:p w:rsidR="001415A3" w:rsidRDefault="007D2755">
      <w:pPr>
        <w:pStyle w:val="a5"/>
        <w:spacing w:before="0" w:beforeAutospacing="0" w:after="0" w:afterAutospacing="0"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（九）</w:t>
      </w:r>
      <w:r>
        <w:rPr>
          <w:rFonts w:ascii="仿宋" w:eastAsia="仿宋" w:hAnsi="仿宋"/>
          <w:color w:val="000000"/>
          <w:sz w:val="32"/>
          <w:szCs w:val="32"/>
        </w:rPr>
        <w:t>“</w:t>
      </w:r>
      <w:r>
        <w:rPr>
          <w:rFonts w:ascii="仿宋" w:eastAsia="仿宋" w:hAnsi="仿宋"/>
          <w:color w:val="000000"/>
          <w:sz w:val="32"/>
          <w:szCs w:val="32"/>
        </w:rPr>
        <w:t>三公</w:t>
      </w:r>
      <w:r>
        <w:rPr>
          <w:rFonts w:ascii="仿宋" w:eastAsia="仿宋" w:hAnsi="仿宋"/>
          <w:color w:val="000000"/>
          <w:sz w:val="32"/>
          <w:szCs w:val="32"/>
        </w:rPr>
        <w:t>”</w:t>
      </w:r>
      <w:r>
        <w:rPr>
          <w:rFonts w:ascii="仿宋" w:eastAsia="仿宋" w:hAnsi="仿宋"/>
          <w:color w:val="000000"/>
          <w:sz w:val="32"/>
          <w:szCs w:val="32"/>
        </w:rPr>
        <w:t>经费及相关信息统计表</w:t>
      </w:r>
    </w:p>
    <w:p w:rsidR="001415A3" w:rsidRDefault="007D2755">
      <w:pPr>
        <w:pStyle w:val="a5"/>
        <w:spacing w:before="0" w:beforeAutospacing="0" w:after="0" w:afterAutospacing="0"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（十）</w:t>
      </w:r>
      <w:r>
        <w:rPr>
          <w:rFonts w:ascii="仿宋" w:eastAsia="仿宋" w:hAnsi="仿宋"/>
          <w:color w:val="000000"/>
          <w:sz w:val="32"/>
          <w:szCs w:val="32"/>
        </w:rPr>
        <w:t>政府采购情况表</w:t>
      </w:r>
    </w:p>
    <w:p w:rsidR="001415A3" w:rsidRDefault="007D2755">
      <w:pPr>
        <w:pStyle w:val="a5"/>
        <w:spacing w:before="0" w:beforeAutospacing="0" w:after="0" w:afterAutospacing="0" w:line="600" w:lineRule="exact"/>
        <w:ind w:firstLineChars="200" w:firstLine="640"/>
        <w:rPr>
          <w:rFonts w:ascii="黑体" w:eastAsia="黑体" w:hAnsi="黑体"/>
          <w:color w:val="000000"/>
          <w:sz w:val="32"/>
          <w:szCs w:val="32"/>
        </w:rPr>
      </w:pPr>
      <w:r>
        <w:rPr>
          <w:rFonts w:ascii="黑体" w:eastAsia="黑体" w:hAnsi="黑体"/>
          <w:color w:val="000000"/>
          <w:sz w:val="32"/>
          <w:szCs w:val="32"/>
        </w:rPr>
        <w:t>三、</w:t>
      </w:r>
      <w:r>
        <w:rPr>
          <w:rFonts w:ascii="黑体" w:eastAsia="黑体" w:hAnsi="黑体" w:hint="eastAsia"/>
          <w:color w:val="000000"/>
          <w:sz w:val="32"/>
          <w:szCs w:val="32"/>
        </w:rPr>
        <w:t>2016</w:t>
      </w:r>
      <w:r>
        <w:rPr>
          <w:rFonts w:ascii="黑体" w:eastAsia="黑体" w:hAnsi="黑体" w:hint="eastAsia"/>
          <w:color w:val="000000"/>
          <w:sz w:val="32"/>
          <w:szCs w:val="32"/>
        </w:rPr>
        <w:t>年度部门决算情况说明</w:t>
      </w:r>
    </w:p>
    <w:p w:rsidR="001415A3" w:rsidRDefault="007D2755">
      <w:pPr>
        <w:pStyle w:val="a5"/>
        <w:spacing w:before="0" w:beforeAutospacing="0" w:after="0" w:afterAutospacing="0" w:line="600" w:lineRule="exact"/>
        <w:ind w:firstLineChars="200" w:firstLine="643"/>
        <w:rPr>
          <w:rFonts w:ascii="楷体" w:eastAsia="楷体" w:hAnsi="楷体"/>
          <w:b/>
          <w:color w:val="000000"/>
          <w:sz w:val="32"/>
          <w:szCs w:val="32"/>
        </w:rPr>
      </w:pPr>
      <w:r>
        <w:rPr>
          <w:rFonts w:ascii="楷体" w:eastAsia="楷体" w:hAnsi="楷体" w:hint="eastAsia"/>
          <w:b/>
          <w:color w:val="000000"/>
          <w:sz w:val="32"/>
          <w:szCs w:val="32"/>
        </w:rPr>
        <w:t>（一）收入支出决算总体情况说明</w:t>
      </w:r>
    </w:p>
    <w:p w:rsidR="001415A3" w:rsidRDefault="007D2755">
      <w:pPr>
        <w:pStyle w:val="a5"/>
        <w:spacing w:before="0" w:beforeAutospacing="0" w:after="0" w:afterAutospacing="0"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反映本部门综合收支情况。</w:t>
      </w:r>
    </w:p>
    <w:p w:rsidR="001415A3" w:rsidRDefault="007D2755">
      <w:pPr>
        <w:pStyle w:val="a5"/>
        <w:spacing w:before="0" w:beforeAutospacing="0" w:after="0" w:afterAutospacing="0"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hint="eastAsia"/>
          <w:color w:val="000000"/>
          <w:sz w:val="32"/>
          <w:szCs w:val="32"/>
        </w:rPr>
        <w:t>、（</w:t>
      </w:r>
      <w:r>
        <w:rPr>
          <w:rFonts w:ascii="仿宋" w:eastAsia="仿宋" w:hAnsi="仿宋" w:hint="eastAsia"/>
          <w:color w:val="000000"/>
          <w:sz w:val="32"/>
          <w:szCs w:val="32"/>
        </w:rPr>
        <w:t>1</w:t>
      </w:r>
      <w:r>
        <w:rPr>
          <w:rFonts w:ascii="仿宋" w:eastAsia="仿宋" w:hAnsi="仿宋" w:hint="eastAsia"/>
          <w:color w:val="000000"/>
          <w:sz w:val="32"/>
          <w:szCs w:val="32"/>
        </w:rPr>
        <w:t>）本部门</w:t>
      </w:r>
      <w:r>
        <w:rPr>
          <w:rFonts w:ascii="仿宋" w:eastAsia="仿宋" w:hAnsi="仿宋"/>
          <w:color w:val="000000"/>
          <w:sz w:val="32"/>
          <w:szCs w:val="32"/>
        </w:rPr>
        <w:t>201</w:t>
      </w:r>
      <w:r>
        <w:rPr>
          <w:rFonts w:ascii="仿宋" w:eastAsia="仿宋" w:hAnsi="仿宋" w:hint="eastAsia"/>
          <w:color w:val="000000"/>
          <w:sz w:val="32"/>
          <w:szCs w:val="32"/>
        </w:rPr>
        <w:t>5</w:t>
      </w:r>
      <w:r>
        <w:rPr>
          <w:rFonts w:ascii="仿宋" w:eastAsia="仿宋" w:hAnsi="仿宋"/>
          <w:color w:val="000000"/>
          <w:sz w:val="32"/>
          <w:szCs w:val="32"/>
        </w:rPr>
        <w:t>年度结余结转</w:t>
      </w:r>
      <w:r>
        <w:rPr>
          <w:rFonts w:ascii="仿宋" w:eastAsia="仿宋" w:hAnsi="仿宋" w:hint="eastAsia"/>
          <w:color w:val="000000"/>
          <w:sz w:val="32"/>
          <w:szCs w:val="32"/>
        </w:rPr>
        <w:t>688.46</w:t>
      </w:r>
      <w:r>
        <w:rPr>
          <w:rFonts w:ascii="仿宋" w:eastAsia="仿宋" w:hAnsi="仿宋" w:hint="eastAsia"/>
          <w:color w:val="000000"/>
          <w:sz w:val="32"/>
          <w:szCs w:val="32"/>
        </w:rPr>
        <w:t>万</w:t>
      </w:r>
      <w:r>
        <w:rPr>
          <w:rFonts w:ascii="仿宋" w:eastAsia="仿宋" w:hAnsi="仿宋"/>
          <w:color w:val="000000"/>
          <w:sz w:val="32"/>
          <w:szCs w:val="32"/>
        </w:rPr>
        <w:t>元，</w:t>
      </w:r>
      <w:r>
        <w:rPr>
          <w:rFonts w:ascii="仿宋" w:eastAsia="仿宋" w:hAnsi="仿宋"/>
          <w:color w:val="000000"/>
          <w:sz w:val="32"/>
          <w:szCs w:val="32"/>
        </w:rPr>
        <w:t>201</w:t>
      </w:r>
      <w:r>
        <w:rPr>
          <w:rFonts w:ascii="仿宋" w:eastAsia="仿宋" w:hAnsi="仿宋" w:hint="eastAsia"/>
          <w:color w:val="000000"/>
          <w:sz w:val="32"/>
          <w:szCs w:val="32"/>
        </w:rPr>
        <w:t>6</w:t>
      </w:r>
      <w:r>
        <w:rPr>
          <w:rFonts w:ascii="仿宋" w:eastAsia="仿宋" w:hAnsi="仿宋"/>
          <w:color w:val="000000"/>
          <w:sz w:val="32"/>
          <w:szCs w:val="32"/>
        </w:rPr>
        <w:t>年</w:t>
      </w:r>
      <w:r>
        <w:rPr>
          <w:rFonts w:ascii="仿宋" w:eastAsia="仿宋" w:hAnsi="仿宋" w:hint="eastAsia"/>
          <w:color w:val="000000"/>
          <w:sz w:val="32"/>
          <w:szCs w:val="32"/>
        </w:rPr>
        <w:t>财政拨款</w:t>
      </w:r>
      <w:r>
        <w:rPr>
          <w:rFonts w:ascii="仿宋" w:eastAsia="仿宋" w:hAnsi="仿宋"/>
          <w:color w:val="000000"/>
          <w:sz w:val="32"/>
          <w:szCs w:val="32"/>
        </w:rPr>
        <w:t>收入</w:t>
      </w:r>
      <w:r>
        <w:rPr>
          <w:rFonts w:ascii="仿宋" w:eastAsia="仿宋" w:hAnsi="仿宋" w:hint="eastAsia"/>
          <w:color w:val="000000"/>
          <w:sz w:val="32"/>
          <w:szCs w:val="32"/>
        </w:rPr>
        <w:t>2423.74</w:t>
      </w:r>
      <w:r>
        <w:rPr>
          <w:rFonts w:ascii="仿宋" w:eastAsia="仿宋" w:hAnsi="仿宋" w:hint="eastAsia"/>
          <w:color w:val="000000"/>
          <w:sz w:val="32"/>
          <w:szCs w:val="32"/>
        </w:rPr>
        <w:t>万</w:t>
      </w:r>
      <w:r>
        <w:rPr>
          <w:rFonts w:ascii="仿宋" w:eastAsia="仿宋" w:hAnsi="仿宋"/>
          <w:color w:val="000000"/>
          <w:sz w:val="32"/>
          <w:szCs w:val="32"/>
        </w:rPr>
        <w:t>元</w:t>
      </w:r>
      <w:r>
        <w:rPr>
          <w:rFonts w:ascii="仿宋" w:eastAsia="仿宋" w:hAnsi="仿宋" w:hint="eastAsia"/>
          <w:color w:val="000000"/>
          <w:sz w:val="32"/>
          <w:szCs w:val="32"/>
        </w:rPr>
        <w:t>（其中城管执法收入</w:t>
      </w:r>
      <w:r>
        <w:rPr>
          <w:rFonts w:ascii="仿宋" w:eastAsia="仿宋" w:hAnsi="仿宋" w:hint="eastAsia"/>
          <w:color w:val="000000"/>
          <w:sz w:val="32"/>
          <w:szCs w:val="32"/>
        </w:rPr>
        <w:t>2423.74</w:t>
      </w:r>
      <w:r>
        <w:rPr>
          <w:rFonts w:ascii="仿宋" w:eastAsia="仿宋" w:hAnsi="仿宋" w:hint="eastAsia"/>
          <w:color w:val="000000"/>
          <w:sz w:val="32"/>
          <w:szCs w:val="32"/>
        </w:rPr>
        <w:t>万元），</w:t>
      </w:r>
      <w:r>
        <w:rPr>
          <w:rFonts w:ascii="仿宋" w:eastAsia="仿宋" w:hAnsi="仿宋"/>
          <w:color w:val="000000"/>
          <w:sz w:val="32"/>
          <w:szCs w:val="32"/>
        </w:rPr>
        <w:t>20</w:t>
      </w:r>
      <w:r>
        <w:rPr>
          <w:rFonts w:ascii="仿宋" w:eastAsia="仿宋" w:hAnsi="仿宋" w:hint="eastAsia"/>
          <w:color w:val="000000"/>
          <w:sz w:val="32"/>
          <w:szCs w:val="32"/>
        </w:rPr>
        <w:t>16</w:t>
      </w:r>
      <w:r>
        <w:rPr>
          <w:rFonts w:ascii="仿宋" w:eastAsia="仿宋" w:hAnsi="仿宋"/>
          <w:color w:val="000000"/>
          <w:sz w:val="32"/>
          <w:szCs w:val="32"/>
        </w:rPr>
        <w:t>年支出</w:t>
      </w:r>
      <w:r>
        <w:rPr>
          <w:rFonts w:ascii="仿宋" w:eastAsia="仿宋" w:hAnsi="仿宋" w:hint="eastAsia"/>
          <w:color w:val="000000"/>
          <w:sz w:val="32"/>
          <w:szCs w:val="32"/>
        </w:rPr>
        <w:t>2679.9</w:t>
      </w:r>
      <w:r>
        <w:rPr>
          <w:rFonts w:ascii="仿宋" w:eastAsia="仿宋" w:hAnsi="仿宋" w:hint="eastAsia"/>
          <w:color w:val="000000"/>
          <w:sz w:val="32"/>
          <w:szCs w:val="32"/>
        </w:rPr>
        <w:t>万</w:t>
      </w:r>
      <w:r>
        <w:rPr>
          <w:rFonts w:ascii="仿宋" w:eastAsia="仿宋" w:hAnsi="仿宋"/>
          <w:color w:val="000000"/>
          <w:sz w:val="32"/>
          <w:szCs w:val="32"/>
        </w:rPr>
        <w:t>元</w:t>
      </w:r>
      <w:r>
        <w:rPr>
          <w:rFonts w:ascii="仿宋" w:eastAsia="仿宋" w:hAnsi="仿宋" w:hint="eastAsia"/>
          <w:color w:val="000000"/>
          <w:sz w:val="32"/>
          <w:szCs w:val="32"/>
        </w:rPr>
        <w:t>（包括基本支出</w:t>
      </w:r>
      <w:r>
        <w:rPr>
          <w:rFonts w:ascii="仿宋" w:eastAsia="仿宋" w:hAnsi="仿宋" w:hint="eastAsia"/>
          <w:color w:val="000000"/>
          <w:sz w:val="32"/>
          <w:szCs w:val="32"/>
        </w:rPr>
        <w:t>2191.82</w:t>
      </w:r>
      <w:r>
        <w:rPr>
          <w:rFonts w:ascii="仿宋" w:eastAsia="仿宋" w:hAnsi="仿宋" w:hint="eastAsia"/>
          <w:color w:val="000000"/>
          <w:sz w:val="32"/>
          <w:szCs w:val="32"/>
        </w:rPr>
        <w:t>万元和项目支出</w:t>
      </w:r>
      <w:r>
        <w:rPr>
          <w:rFonts w:ascii="仿宋" w:eastAsia="仿宋" w:hAnsi="仿宋" w:hint="eastAsia"/>
          <w:color w:val="000000"/>
          <w:sz w:val="32"/>
          <w:szCs w:val="32"/>
        </w:rPr>
        <w:t>488.08</w:t>
      </w:r>
      <w:r>
        <w:rPr>
          <w:rFonts w:ascii="仿宋" w:eastAsia="仿宋" w:hAnsi="仿宋" w:hint="eastAsia"/>
          <w:color w:val="000000"/>
          <w:sz w:val="32"/>
          <w:szCs w:val="32"/>
        </w:rPr>
        <w:t>万元。基本支出主要是人员支出和办公费、电费、邮电费、公务用车运行维护费等保障机关运行费用支出；项目支出主要是保障数字城管运行费用支出及系统软件购置，房屋、停车场等租赁费用，设备</w:t>
      </w:r>
      <w:r>
        <w:rPr>
          <w:rFonts w:ascii="仿宋" w:eastAsia="仿宋" w:hAnsi="仿宋" w:hint="eastAsia"/>
          <w:color w:val="000000"/>
          <w:sz w:val="32"/>
          <w:szCs w:val="32"/>
        </w:rPr>
        <w:lastRenderedPageBreak/>
        <w:t>维修及购置，城市管理费用等）</w:t>
      </w:r>
      <w:r>
        <w:rPr>
          <w:rFonts w:ascii="仿宋" w:eastAsia="仿宋" w:hAnsi="仿宋"/>
          <w:color w:val="000000"/>
          <w:sz w:val="32"/>
          <w:szCs w:val="32"/>
        </w:rPr>
        <w:t>，年末结转和结余</w:t>
      </w:r>
      <w:r>
        <w:rPr>
          <w:rFonts w:ascii="仿宋" w:eastAsia="仿宋" w:hAnsi="仿宋" w:hint="eastAsia"/>
          <w:color w:val="000000"/>
          <w:sz w:val="32"/>
          <w:szCs w:val="32"/>
        </w:rPr>
        <w:t>432.3</w:t>
      </w:r>
      <w:r>
        <w:rPr>
          <w:rFonts w:ascii="仿宋" w:eastAsia="仿宋" w:hAnsi="仿宋" w:hint="eastAsia"/>
          <w:color w:val="000000"/>
          <w:sz w:val="32"/>
          <w:szCs w:val="32"/>
        </w:rPr>
        <w:t>万</w:t>
      </w:r>
      <w:r>
        <w:rPr>
          <w:rFonts w:ascii="仿宋" w:eastAsia="仿宋" w:hAnsi="仿宋"/>
          <w:color w:val="000000"/>
          <w:sz w:val="32"/>
          <w:szCs w:val="32"/>
        </w:rPr>
        <w:t>元</w:t>
      </w:r>
      <w:r>
        <w:rPr>
          <w:rFonts w:ascii="仿宋" w:eastAsia="仿宋" w:hAnsi="仿宋" w:hint="eastAsia"/>
          <w:color w:val="000000"/>
          <w:sz w:val="32"/>
          <w:szCs w:val="32"/>
        </w:rPr>
        <w:t>。（</w:t>
      </w:r>
      <w:r>
        <w:rPr>
          <w:rFonts w:ascii="仿宋" w:eastAsia="仿宋" w:hAnsi="仿宋" w:hint="eastAsia"/>
          <w:color w:val="000000"/>
          <w:sz w:val="32"/>
          <w:szCs w:val="32"/>
        </w:rPr>
        <w:t>2</w:t>
      </w:r>
      <w:r>
        <w:rPr>
          <w:rFonts w:ascii="仿宋" w:eastAsia="仿宋" w:hAnsi="仿宋" w:hint="eastAsia"/>
          <w:color w:val="000000"/>
          <w:sz w:val="32"/>
          <w:szCs w:val="32"/>
        </w:rPr>
        <w:t>）</w:t>
      </w:r>
      <w:r>
        <w:rPr>
          <w:rFonts w:ascii="仿宋" w:eastAsia="仿宋" w:hAnsi="仿宋" w:hint="eastAsia"/>
          <w:color w:val="000000"/>
          <w:sz w:val="32"/>
          <w:szCs w:val="32"/>
        </w:rPr>
        <w:t>2016</w:t>
      </w:r>
      <w:r>
        <w:rPr>
          <w:rFonts w:ascii="仿宋" w:eastAsia="仿宋" w:hAnsi="仿宋" w:hint="eastAsia"/>
          <w:color w:val="000000"/>
          <w:sz w:val="32"/>
          <w:szCs w:val="32"/>
        </w:rPr>
        <w:t>年收支比</w:t>
      </w:r>
      <w:r>
        <w:rPr>
          <w:rFonts w:ascii="仿宋" w:eastAsia="仿宋" w:hAnsi="仿宋" w:hint="eastAsia"/>
          <w:color w:val="000000"/>
          <w:sz w:val="32"/>
          <w:szCs w:val="32"/>
        </w:rPr>
        <w:t>2015</w:t>
      </w:r>
      <w:r>
        <w:rPr>
          <w:rFonts w:ascii="仿宋" w:eastAsia="仿宋" w:hAnsi="仿宋" w:hint="eastAsia"/>
          <w:color w:val="000000"/>
          <w:sz w:val="32"/>
          <w:szCs w:val="32"/>
        </w:rPr>
        <w:t>年及</w:t>
      </w:r>
      <w:r>
        <w:rPr>
          <w:rFonts w:ascii="仿宋" w:eastAsia="仿宋" w:hAnsi="仿宋" w:hint="eastAsia"/>
          <w:color w:val="000000"/>
          <w:sz w:val="32"/>
          <w:szCs w:val="32"/>
        </w:rPr>
        <w:t>2016</w:t>
      </w:r>
      <w:r>
        <w:rPr>
          <w:rFonts w:ascii="仿宋" w:eastAsia="仿宋" w:hAnsi="仿宋" w:hint="eastAsia"/>
          <w:color w:val="000000"/>
          <w:sz w:val="32"/>
          <w:szCs w:val="32"/>
        </w:rPr>
        <w:t>年预算情况有所增长；增长原因为</w:t>
      </w:r>
      <w:r>
        <w:rPr>
          <w:rFonts w:ascii="仿宋" w:eastAsia="仿宋" w:hAnsi="仿宋" w:hint="eastAsia"/>
          <w:color w:val="000000"/>
          <w:sz w:val="32"/>
          <w:szCs w:val="32"/>
        </w:rPr>
        <w:t>2016</w:t>
      </w:r>
      <w:r>
        <w:rPr>
          <w:rFonts w:ascii="仿宋" w:eastAsia="仿宋" w:hAnsi="仿宋" w:hint="eastAsia"/>
          <w:color w:val="000000"/>
          <w:sz w:val="32"/>
          <w:szCs w:val="32"/>
        </w:rPr>
        <w:t>年数字城管系统建设、数字城管网格测绘、三轮车治理、大气污染治理及人员经费等收支有所增加</w:t>
      </w:r>
    </w:p>
    <w:p w:rsidR="001415A3" w:rsidRDefault="007D2755">
      <w:pPr>
        <w:pStyle w:val="a5"/>
        <w:spacing w:before="0" w:beforeAutospacing="0" w:after="0" w:afterAutospacing="0"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、机关运行经费共计支出</w:t>
      </w:r>
      <w:r>
        <w:rPr>
          <w:rFonts w:ascii="仿宋" w:eastAsia="仿宋" w:hAnsi="仿宋" w:hint="eastAsia"/>
          <w:color w:val="000000"/>
          <w:sz w:val="32"/>
          <w:szCs w:val="32"/>
        </w:rPr>
        <w:t>137.69</w:t>
      </w:r>
      <w:r>
        <w:rPr>
          <w:rFonts w:ascii="仿宋" w:eastAsia="仿宋" w:hAnsi="仿宋" w:hint="eastAsia"/>
          <w:color w:val="000000"/>
          <w:sz w:val="32"/>
          <w:szCs w:val="32"/>
        </w:rPr>
        <w:t>万元。主要包括机关</w:t>
      </w:r>
      <w:r>
        <w:rPr>
          <w:rFonts w:ascii="仿宋" w:eastAsia="仿宋" w:hAnsi="仿宋" w:hint="eastAsia"/>
          <w:color w:val="000000"/>
          <w:sz w:val="32"/>
          <w:szCs w:val="32"/>
        </w:rPr>
        <w:t>办公费、电费、电话费、公务用车运行维护费、固定资产日常维修等公用经费的支出</w:t>
      </w:r>
    </w:p>
    <w:p w:rsidR="001415A3" w:rsidRDefault="007D2755">
      <w:pPr>
        <w:pStyle w:val="a5"/>
        <w:spacing w:before="0" w:beforeAutospacing="0" w:after="0" w:afterAutospacing="0" w:line="600" w:lineRule="exact"/>
        <w:ind w:firstLineChars="200" w:firstLine="643"/>
        <w:rPr>
          <w:rFonts w:ascii="楷体" w:eastAsia="楷体" w:hAnsi="楷体"/>
          <w:b/>
          <w:color w:val="000000"/>
          <w:sz w:val="32"/>
          <w:szCs w:val="32"/>
        </w:rPr>
      </w:pPr>
      <w:r>
        <w:rPr>
          <w:rFonts w:ascii="楷体" w:eastAsia="楷体" w:hAnsi="楷体" w:hint="eastAsia"/>
          <w:b/>
          <w:color w:val="000000"/>
          <w:sz w:val="32"/>
          <w:szCs w:val="32"/>
        </w:rPr>
        <w:t>（二）收入决算情况说明</w:t>
      </w:r>
    </w:p>
    <w:p w:rsidR="001415A3" w:rsidRDefault="007D2755">
      <w:pPr>
        <w:pStyle w:val="a5"/>
        <w:spacing w:before="0" w:beforeAutospacing="0" w:after="0" w:afterAutospacing="0"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反映本部门当年总体收入情况。</w:t>
      </w:r>
      <w:r>
        <w:rPr>
          <w:rFonts w:ascii="仿宋" w:eastAsia="仿宋" w:hAnsi="仿宋"/>
          <w:color w:val="000000"/>
          <w:sz w:val="32"/>
          <w:szCs w:val="32"/>
        </w:rPr>
        <w:t>本部门</w:t>
      </w:r>
      <w:r>
        <w:rPr>
          <w:rFonts w:ascii="仿宋" w:eastAsia="仿宋" w:hAnsi="仿宋"/>
          <w:color w:val="000000"/>
          <w:sz w:val="32"/>
          <w:szCs w:val="32"/>
        </w:rPr>
        <w:t>201</w:t>
      </w:r>
      <w:r>
        <w:rPr>
          <w:rFonts w:ascii="仿宋" w:eastAsia="仿宋" w:hAnsi="仿宋" w:hint="eastAsia"/>
          <w:color w:val="000000"/>
          <w:sz w:val="32"/>
          <w:szCs w:val="32"/>
        </w:rPr>
        <w:t>6</w:t>
      </w:r>
      <w:r>
        <w:rPr>
          <w:rFonts w:ascii="仿宋" w:eastAsia="仿宋" w:hAnsi="仿宋"/>
          <w:color w:val="000000"/>
          <w:sz w:val="32"/>
          <w:szCs w:val="32"/>
        </w:rPr>
        <w:t>年</w:t>
      </w:r>
      <w:r>
        <w:rPr>
          <w:rFonts w:ascii="仿宋" w:eastAsia="仿宋" w:hAnsi="仿宋" w:hint="eastAsia"/>
          <w:color w:val="000000"/>
          <w:sz w:val="32"/>
          <w:szCs w:val="32"/>
        </w:rPr>
        <w:t>财政拨款</w:t>
      </w:r>
      <w:r>
        <w:rPr>
          <w:rFonts w:ascii="仿宋" w:eastAsia="仿宋" w:hAnsi="仿宋"/>
          <w:color w:val="000000"/>
          <w:sz w:val="32"/>
          <w:szCs w:val="32"/>
        </w:rPr>
        <w:t>收入</w:t>
      </w:r>
      <w:r>
        <w:rPr>
          <w:rFonts w:ascii="仿宋" w:eastAsia="仿宋" w:hAnsi="仿宋" w:hint="eastAsia"/>
          <w:color w:val="000000"/>
          <w:sz w:val="32"/>
          <w:szCs w:val="32"/>
        </w:rPr>
        <w:t>2423.74</w:t>
      </w:r>
      <w:r>
        <w:rPr>
          <w:rFonts w:ascii="仿宋" w:eastAsia="仿宋" w:hAnsi="仿宋" w:hint="eastAsia"/>
          <w:color w:val="000000"/>
          <w:sz w:val="32"/>
          <w:szCs w:val="32"/>
        </w:rPr>
        <w:t>万</w:t>
      </w:r>
      <w:r>
        <w:rPr>
          <w:rFonts w:ascii="仿宋" w:eastAsia="仿宋" w:hAnsi="仿宋"/>
          <w:color w:val="000000"/>
          <w:sz w:val="32"/>
          <w:szCs w:val="32"/>
        </w:rPr>
        <w:t>元</w:t>
      </w:r>
      <w:r>
        <w:rPr>
          <w:rFonts w:ascii="仿宋" w:eastAsia="仿宋" w:hAnsi="仿宋" w:hint="eastAsia"/>
          <w:color w:val="000000"/>
          <w:sz w:val="32"/>
          <w:szCs w:val="32"/>
        </w:rPr>
        <w:t>（其中城管执法收入</w:t>
      </w:r>
      <w:r>
        <w:rPr>
          <w:rFonts w:ascii="仿宋" w:eastAsia="仿宋" w:hAnsi="仿宋" w:hint="eastAsia"/>
          <w:color w:val="000000"/>
          <w:sz w:val="32"/>
          <w:szCs w:val="32"/>
        </w:rPr>
        <w:t>2423.74</w:t>
      </w:r>
      <w:r>
        <w:rPr>
          <w:rFonts w:ascii="仿宋" w:eastAsia="仿宋" w:hAnsi="仿宋" w:hint="eastAsia"/>
          <w:color w:val="000000"/>
          <w:sz w:val="32"/>
          <w:szCs w:val="32"/>
        </w:rPr>
        <w:t>万元）。</w:t>
      </w:r>
      <w:r>
        <w:rPr>
          <w:rFonts w:ascii="仿宋" w:eastAsia="仿宋" w:hAnsi="仿宋" w:hint="eastAsia"/>
          <w:color w:val="000000"/>
          <w:sz w:val="32"/>
          <w:szCs w:val="32"/>
        </w:rPr>
        <w:t>2016</w:t>
      </w:r>
      <w:r>
        <w:rPr>
          <w:rFonts w:ascii="仿宋" w:eastAsia="仿宋" w:hAnsi="仿宋" w:hint="eastAsia"/>
          <w:color w:val="000000"/>
          <w:sz w:val="32"/>
          <w:szCs w:val="32"/>
        </w:rPr>
        <w:t>年收入比</w:t>
      </w:r>
      <w:r>
        <w:rPr>
          <w:rFonts w:ascii="仿宋" w:eastAsia="仿宋" w:hAnsi="仿宋" w:hint="eastAsia"/>
          <w:color w:val="000000"/>
          <w:sz w:val="32"/>
          <w:szCs w:val="32"/>
        </w:rPr>
        <w:t>2016</w:t>
      </w:r>
      <w:r>
        <w:rPr>
          <w:rFonts w:ascii="仿宋" w:eastAsia="仿宋" w:hAnsi="仿宋" w:hint="eastAsia"/>
          <w:color w:val="000000"/>
          <w:sz w:val="32"/>
          <w:szCs w:val="32"/>
        </w:rPr>
        <w:t>年预算情况有所增长；增长原因为</w:t>
      </w:r>
      <w:r>
        <w:rPr>
          <w:rFonts w:ascii="仿宋" w:eastAsia="仿宋" w:hAnsi="仿宋" w:hint="eastAsia"/>
          <w:color w:val="000000"/>
          <w:sz w:val="32"/>
          <w:szCs w:val="32"/>
        </w:rPr>
        <w:t>2016</w:t>
      </w:r>
      <w:r>
        <w:rPr>
          <w:rFonts w:ascii="仿宋" w:eastAsia="仿宋" w:hAnsi="仿宋" w:hint="eastAsia"/>
          <w:color w:val="000000"/>
          <w:sz w:val="32"/>
          <w:szCs w:val="32"/>
        </w:rPr>
        <w:t>年数字城管系统建设、数字城管网格测绘、三轮车治理、大气污染治理及人员经费等收支有所增加</w:t>
      </w:r>
    </w:p>
    <w:p w:rsidR="001415A3" w:rsidRDefault="007D2755">
      <w:pPr>
        <w:pStyle w:val="a5"/>
        <w:spacing w:before="0" w:beforeAutospacing="0" w:after="0" w:afterAutospacing="0" w:line="600" w:lineRule="exact"/>
        <w:ind w:firstLineChars="200" w:firstLine="643"/>
        <w:rPr>
          <w:rFonts w:ascii="楷体" w:eastAsia="楷体" w:hAnsi="楷体"/>
          <w:b/>
          <w:color w:val="000000"/>
          <w:sz w:val="32"/>
          <w:szCs w:val="32"/>
        </w:rPr>
      </w:pPr>
      <w:r>
        <w:rPr>
          <w:rFonts w:ascii="楷体" w:eastAsia="楷体" w:hAnsi="楷体" w:hint="eastAsia"/>
          <w:b/>
          <w:color w:val="000000"/>
          <w:sz w:val="32"/>
          <w:szCs w:val="32"/>
        </w:rPr>
        <w:t>（三）支出情况总体说明</w:t>
      </w:r>
    </w:p>
    <w:p w:rsidR="001415A3" w:rsidRDefault="007D2755">
      <w:pPr>
        <w:pStyle w:val="a5"/>
        <w:spacing w:before="0" w:beforeAutospacing="0" w:after="0" w:afterAutospacing="0"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反映本部门当年总体支出情况。</w:t>
      </w:r>
    </w:p>
    <w:p w:rsidR="001415A3" w:rsidRDefault="007D2755">
      <w:pPr>
        <w:pStyle w:val="a5"/>
        <w:spacing w:before="0" w:beforeAutospacing="0" w:after="0" w:afterAutospacing="0"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hint="eastAsia"/>
          <w:color w:val="000000"/>
          <w:sz w:val="32"/>
          <w:szCs w:val="32"/>
        </w:rPr>
        <w:t>、（</w:t>
      </w:r>
      <w:r>
        <w:rPr>
          <w:rFonts w:ascii="仿宋" w:eastAsia="仿宋" w:hAnsi="仿宋" w:hint="eastAsia"/>
          <w:color w:val="000000"/>
          <w:sz w:val="32"/>
          <w:szCs w:val="32"/>
        </w:rPr>
        <w:t>1</w:t>
      </w:r>
      <w:r>
        <w:rPr>
          <w:rFonts w:ascii="仿宋" w:eastAsia="仿宋" w:hAnsi="仿宋" w:hint="eastAsia"/>
          <w:color w:val="000000"/>
          <w:sz w:val="32"/>
          <w:szCs w:val="32"/>
        </w:rPr>
        <w:t>）本部门</w:t>
      </w:r>
      <w:r>
        <w:rPr>
          <w:rFonts w:ascii="仿宋" w:eastAsia="仿宋" w:hAnsi="仿宋"/>
          <w:color w:val="000000"/>
          <w:sz w:val="32"/>
          <w:szCs w:val="32"/>
        </w:rPr>
        <w:t>20</w:t>
      </w:r>
      <w:r>
        <w:rPr>
          <w:rFonts w:ascii="仿宋" w:eastAsia="仿宋" w:hAnsi="仿宋" w:hint="eastAsia"/>
          <w:color w:val="000000"/>
          <w:sz w:val="32"/>
          <w:szCs w:val="32"/>
        </w:rPr>
        <w:t>16</w:t>
      </w:r>
      <w:r>
        <w:rPr>
          <w:rFonts w:ascii="仿宋" w:eastAsia="仿宋" w:hAnsi="仿宋"/>
          <w:color w:val="000000"/>
          <w:sz w:val="32"/>
          <w:szCs w:val="32"/>
        </w:rPr>
        <w:t>年支出</w:t>
      </w:r>
      <w:r>
        <w:rPr>
          <w:rFonts w:ascii="仿宋" w:eastAsia="仿宋" w:hAnsi="仿宋" w:hint="eastAsia"/>
          <w:color w:val="000000"/>
          <w:sz w:val="32"/>
          <w:szCs w:val="32"/>
        </w:rPr>
        <w:t>2679.9</w:t>
      </w:r>
      <w:r>
        <w:rPr>
          <w:rFonts w:ascii="仿宋" w:eastAsia="仿宋" w:hAnsi="仿宋" w:hint="eastAsia"/>
          <w:color w:val="000000"/>
          <w:sz w:val="32"/>
          <w:szCs w:val="32"/>
        </w:rPr>
        <w:t>万</w:t>
      </w:r>
      <w:r>
        <w:rPr>
          <w:rFonts w:ascii="仿宋" w:eastAsia="仿宋" w:hAnsi="仿宋"/>
          <w:color w:val="000000"/>
          <w:sz w:val="32"/>
          <w:szCs w:val="32"/>
        </w:rPr>
        <w:t>元</w:t>
      </w:r>
      <w:r>
        <w:rPr>
          <w:rFonts w:ascii="仿宋" w:eastAsia="仿宋" w:hAnsi="仿宋" w:hint="eastAsia"/>
          <w:color w:val="000000"/>
          <w:sz w:val="32"/>
          <w:szCs w:val="32"/>
        </w:rPr>
        <w:t>（包括基本支出</w:t>
      </w:r>
      <w:r>
        <w:rPr>
          <w:rFonts w:ascii="仿宋" w:eastAsia="仿宋" w:hAnsi="仿宋" w:hint="eastAsia"/>
          <w:color w:val="000000"/>
          <w:sz w:val="32"/>
          <w:szCs w:val="32"/>
        </w:rPr>
        <w:t>2191.82</w:t>
      </w:r>
      <w:r>
        <w:rPr>
          <w:rFonts w:ascii="仿宋" w:eastAsia="仿宋" w:hAnsi="仿宋" w:hint="eastAsia"/>
          <w:color w:val="000000"/>
          <w:sz w:val="32"/>
          <w:szCs w:val="32"/>
        </w:rPr>
        <w:t>万元和项目支出</w:t>
      </w:r>
      <w:r>
        <w:rPr>
          <w:rFonts w:ascii="仿宋" w:eastAsia="仿宋" w:hAnsi="仿宋" w:hint="eastAsia"/>
          <w:color w:val="000000"/>
          <w:sz w:val="32"/>
          <w:szCs w:val="32"/>
        </w:rPr>
        <w:t>488.08</w:t>
      </w:r>
      <w:r>
        <w:rPr>
          <w:rFonts w:ascii="仿宋" w:eastAsia="仿宋" w:hAnsi="仿宋" w:hint="eastAsia"/>
          <w:color w:val="000000"/>
          <w:sz w:val="32"/>
          <w:szCs w:val="32"/>
        </w:rPr>
        <w:t>万元。基本支出主要是人员支出和办公费、电费、邮电费、公务用车运行维护费等保障机关运行费用支出；</w:t>
      </w:r>
      <w:r>
        <w:rPr>
          <w:rFonts w:ascii="仿宋" w:eastAsia="仿宋" w:hAnsi="仿宋" w:hint="eastAsia"/>
          <w:color w:val="000000"/>
          <w:sz w:val="32"/>
          <w:szCs w:val="32"/>
        </w:rPr>
        <w:lastRenderedPageBreak/>
        <w:t>项目支出主要是保障数字城管运行费用支出及系统软件购置，房屋、停车场等租赁费用，设备维修及购置，城市管理费用等）</w:t>
      </w:r>
      <w:r>
        <w:rPr>
          <w:rFonts w:ascii="仿宋" w:eastAsia="仿宋" w:hAnsi="仿宋"/>
          <w:color w:val="000000"/>
          <w:sz w:val="32"/>
          <w:szCs w:val="32"/>
        </w:rPr>
        <w:t>，年末结转和结余</w:t>
      </w:r>
      <w:r>
        <w:rPr>
          <w:rFonts w:ascii="仿宋" w:eastAsia="仿宋" w:hAnsi="仿宋" w:hint="eastAsia"/>
          <w:color w:val="000000"/>
          <w:sz w:val="32"/>
          <w:szCs w:val="32"/>
        </w:rPr>
        <w:t>432.3</w:t>
      </w:r>
      <w:r>
        <w:rPr>
          <w:rFonts w:ascii="仿宋" w:eastAsia="仿宋" w:hAnsi="仿宋" w:hint="eastAsia"/>
          <w:color w:val="000000"/>
          <w:sz w:val="32"/>
          <w:szCs w:val="32"/>
        </w:rPr>
        <w:t>万</w:t>
      </w:r>
      <w:r>
        <w:rPr>
          <w:rFonts w:ascii="仿宋" w:eastAsia="仿宋" w:hAnsi="仿宋"/>
          <w:color w:val="000000"/>
          <w:sz w:val="32"/>
          <w:szCs w:val="32"/>
        </w:rPr>
        <w:t>元</w:t>
      </w:r>
      <w:r>
        <w:rPr>
          <w:rFonts w:ascii="仿宋" w:eastAsia="仿宋" w:hAnsi="仿宋" w:hint="eastAsia"/>
          <w:color w:val="000000"/>
          <w:sz w:val="32"/>
          <w:szCs w:val="32"/>
        </w:rPr>
        <w:t>。（</w:t>
      </w:r>
      <w:r>
        <w:rPr>
          <w:rFonts w:ascii="仿宋" w:eastAsia="仿宋" w:hAnsi="仿宋" w:hint="eastAsia"/>
          <w:color w:val="000000"/>
          <w:sz w:val="32"/>
          <w:szCs w:val="32"/>
        </w:rPr>
        <w:t>2</w:t>
      </w:r>
      <w:r>
        <w:rPr>
          <w:rFonts w:ascii="仿宋" w:eastAsia="仿宋" w:hAnsi="仿宋" w:hint="eastAsia"/>
          <w:color w:val="000000"/>
          <w:sz w:val="32"/>
          <w:szCs w:val="32"/>
        </w:rPr>
        <w:t>）</w:t>
      </w:r>
      <w:r>
        <w:rPr>
          <w:rFonts w:ascii="仿宋" w:eastAsia="仿宋" w:hAnsi="仿宋" w:hint="eastAsia"/>
          <w:color w:val="000000"/>
          <w:sz w:val="32"/>
          <w:szCs w:val="32"/>
        </w:rPr>
        <w:t>2016</w:t>
      </w:r>
      <w:r>
        <w:rPr>
          <w:rFonts w:ascii="仿宋" w:eastAsia="仿宋" w:hAnsi="仿宋" w:hint="eastAsia"/>
          <w:color w:val="000000"/>
          <w:sz w:val="32"/>
          <w:szCs w:val="32"/>
        </w:rPr>
        <w:t>年支出比</w:t>
      </w:r>
      <w:r>
        <w:rPr>
          <w:rFonts w:ascii="仿宋" w:eastAsia="仿宋" w:hAnsi="仿宋" w:hint="eastAsia"/>
          <w:color w:val="000000"/>
          <w:sz w:val="32"/>
          <w:szCs w:val="32"/>
        </w:rPr>
        <w:t>2015</w:t>
      </w:r>
      <w:r>
        <w:rPr>
          <w:rFonts w:ascii="仿宋" w:eastAsia="仿宋" w:hAnsi="仿宋" w:hint="eastAsia"/>
          <w:color w:val="000000"/>
          <w:sz w:val="32"/>
          <w:szCs w:val="32"/>
        </w:rPr>
        <w:t>年及</w:t>
      </w:r>
      <w:r>
        <w:rPr>
          <w:rFonts w:ascii="仿宋" w:eastAsia="仿宋" w:hAnsi="仿宋" w:hint="eastAsia"/>
          <w:color w:val="000000"/>
          <w:sz w:val="32"/>
          <w:szCs w:val="32"/>
        </w:rPr>
        <w:t>2016</w:t>
      </w:r>
      <w:r>
        <w:rPr>
          <w:rFonts w:ascii="仿宋" w:eastAsia="仿宋" w:hAnsi="仿宋" w:hint="eastAsia"/>
          <w:color w:val="000000"/>
          <w:sz w:val="32"/>
          <w:szCs w:val="32"/>
        </w:rPr>
        <w:t>年预算情况有所增长；增长原因为</w:t>
      </w:r>
      <w:r>
        <w:rPr>
          <w:rFonts w:ascii="仿宋" w:eastAsia="仿宋" w:hAnsi="仿宋" w:hint="eastAsia"/>
          <w:color w:val="000000"/>
          <w:sz w:val="32"/>
          <w:szCs w:val="32"/>
        </w:rPr>
        <w:t>2016</w:t>
      </w:r>
      <w:r>
        <w:rPr>
          <w:rFonts w:ascii="仿宋" w:eastAsia="仿宋" w:hAnsi="仿宋" w:hint="eastAsia"/>
          <w:color w:val="000000"/>
          <w:sz w:val="32"/>
          <w:szCs w:val="32"/>
        </w:rPr>
        <w:t>年数字城管系统建设、数字城管网格测绘、三轮车治理、大气污染治理及人员经费等收支有所增加。</w:t>
      </w:r>
    </w:p>
    <w:p w:rsidR="001415A3" w:rsidRDefault="007D2755">
      <w:pPr>
        <w:pStyle w:val="a5"/>
        <w:spacing w:before="0" w:beforeAutospacing="0" w:after="0" w:afterAutospacing="0"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、机关运行经费共计支出</w:t>
      </w:r>
      <w:r>
        <w:rPr>
          <w:rFonts w:ascii="仿宋" w:eastAsia="仿宋" w:hAnsi="仿宋" w:hint="eastAsia"/>
          <w:color w:val="000000"/>
          <w:sz w:val="32"/>
          <w:szCs w:val="32"/>
        </w:rPr>
        <w:t>137.69</w:t>
      </w:r>
      <w:r>
        <w:rPr>
          <w:rFonts w:ascii="仿宋" w:eastAsia="仿宋" w:hAnsi="仿宋" w:hint="eastAsia"/>
          <w:color w:val="000000"/>
          <w:sz w:val="32"/>
          <w:szCs w:val="32"/>
        </w:rPr>
        <w:t>万元。主要包括机</w:t>
      </w:r>
      <w:r>
        <w:rPr>
          <w:rFonts w:ascii="仿宋" w:eastAsia="仿宋" w:hAnsi="仿宋" w:hint="eastAsia"/>
          <w:color w:val="000000"/>
          <w:sz w:val="32"/>
          <w:szCs w:val="32"/>
        </w:rPr>
        <w:t>关办公费、电费、电话费、公务用车运行维护费、固定资产日常维修等公用经费的支出</w:t>
      </w:r>
    </w:p>
    <w:p w:rsidR="001415A3" w:rsidRDefault="007D2755">
      <w:pPr>
        <w:pStyle w:val="a5"/>
        <w:spacing w:before="0" w:beforeAutospacing="0" w:after="0" w:afterAutospacing="0" w:line="600" w:lineRule="exact"/>
        <w:ind w:firstLineChars="200" w:firstLine="643"/>
        <w:rPr>
          <w:rFonts w:ascii="楷体" w:eastAsia="楷体" w:hAnsi="楷体"/>
          <w:b/>
          <w:color w:val="000000"/>
          <w:sz w:val="32"/>
          <w:szCs w:val="32"/>
        </w:rPr>
      </w:pPr>
      <w:r>
        <w:rPr>
          <w:rFonts w:ascii="楷体" w:eastAsia="楷体" w:hAnsi="楷体"/>
          <w:b/>
          <w:color w:val="000000"/>
          <w:sz w:val="32"/>
          <w:szCs w:val="32"/>
        </w:rPr>
        <w:t>（四）财政拨款收入支出决算总体情况说明</w:t>
      </w:r>
    </w:p>
    <w:p w:rsidR="001415A3" w:rsidRDefault="007D2755">
      <w:pPr>
        <w:pStyle w:val="a5"/>
        <w:spacing w:before="0" w:beforeAutospacing="0" w:after="0" w:afterAutospacing="0"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反映本部门财政拨款收支情况。</w:t>
      </w:r>
    </w:p>
    <w:p w:rsidR="001415A3" w:rsidRDefault="007D2755">
      <w:pPr>
        <w:pStyle w:val="a5"/>
        <w:spacing w:before="0" w:beforeAutospacing="0" w:after="0" w:afterAutospacing="0"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hint="eastAsia"/>
          <w:color w:val="000000"/>
          <w:sz w:val="32"/>
          <w:szCs w:val="32"/>
        </w:rPr>
        <w:t>、（</w:t>
      </w:r>
      <w:r>
        <w:rPr>
          <w:rFonts w:ascii="仿宋" w:eastAsia="仿宋" w:hAnsi="仿宋" w:hint="eastAsia"/>
          <w:color w:val="000000"/>
          <w:sz w:val="32"/>
          <w:szCs w:val="32"/>
        </w:rPr>
        <w:t>1</w:t>
      </w:r>
      <w:r>
        <w:rPr>
          <w:rFonts w:ascii="仿宋" w:eastAsia="仿宋" w:hAnsi="仿宋" w:hint="eastAsia"/>
          <w:color w:val="000000"/>
          <w:sz w:val="32"/>
          <w:szCs w:val="32"/>
        </w:rPr>
        <w:t>）本部门</w:t>
      </w:r>
      <w:r>
        <w:rPr>
          <w:rFonts w:ascii="仿宋" w:eastAsia="仿宋" w:hAnsi="仿宋"/>
          <w:color w:val="000000"/>
          <w:sz w:val="32"/>
          <w:szCs w:val="32"/>
        </w:rPr>
        <w:t>201</w:t>
      </w:r>
      <w:r>
        <w:rPr>
          <w:rFonts w:ascii="仿宋" w:eastAsia="仿宋" w:hAnsi="仿宋" w:hint="eastAsia"/>
          <w:color w:val="000000"/>
          <w:sz w:val="32"/>
          <w:szCs w:val="32"/>
        </w:rPr>
        <w:t>5</w:t>
      </w:r>
      <w:r>
        <w:rPr>
          <w:rFonts w:ascii="仿宋" w:eastAsia="仿宋" w:hAnsi="仿宋"/>
          <w:color w:val="000000"/>
          <w:sz w:val="32"/>
          <w:szCs w:val="32"/>
        </w:rPr>
        <w:t>年度结余结转</w:t>
      </w:r>
      <w:r>
        <w:rPr>
          <w:rFonts w:ascii="仿宋" w:eastAsia="仿宋" w:hAnsi="仿宋" w:hint="eastAsia"/>
          <w:color w:val="000000"/>
          <w:sz w:val="32"/>
          <w:szCs w:val="32"/>
        </w:rPr>
        <w:t>688.46</w:t>
      </w:r>
      <w:r>
        <w:rPr>
          <w:rFonts w:ascii="仿宋" w:eastAsia="仿宋" w:hAnsi="仿宋" w:hint="eastAsia"/>
          <w:color w:val="000000"/>
          <w:sz w:val="32"/>
          <w:szCs w:val="32"/>
        </w:rPr>
        <w:t>万</w:t>
      </w:r>
      <w:r>
        <w:rPr>
          <w:rFonts w:ascii="仿宋" w:eastAsia="仿宋" w:hAnsi="仿宋"/>
          <w:color w:val="000000"/>
          <w:sz w:val="32"/>
          <w:szCs w:val="32"/>
        </w:rPr>
        <w:t>元，</w:t>
      </w:r>
      <w:r>
        <w:rPr>
          <w:rFonts w:ascii="仿宋" w:eastAsia="仿宋" w:hAnsi="仿宋"/>
          <w:color w:val="000000"/>
          <w:sz w:val="32"/>
          <w:szCs w:val="32"/>
        </w:rPr>
        <w:t>201</w:t>
      </w:r>
      <w:r>
        <w:rPr>
          <w:rFonts w:ascii="仿宋" w:eastAsia="仿宋" w:hAnsi="仿宋" w:hint="eastAsia"/>
          <w:color w:val="000000"/>
          <w:sz w:val="32"/>
          <w:szCs w:val="32"/>
        </w:rPr>
        <w:t>6</w:t>
      </w:r>
      <w:r>
        <w:rPr>
          <w:rFonts w:ascii="仿宋" w:eastAsia="仿宋" w:hAnsi="仿宋"/>
          <w:color w:val="000000"/>
          <w:sz w:val="32"/>
          <w:szCs w:val="32"/>
        </w:rPr>
        <w:t>年</w:t>
      </w:r>
      <w:r>
        <w:rPr>
          <w:rFonts w:ascii="仿宋" w:eastAsia="仿宋" w:hAnsi="仿宋" w:hint="eastAsia"/>
          <w:color w:val="000000"/>
          <w:sz w:val="32"/>
          <w:szCs w:val="32"/>
        </w:rPr>
        <w:t>财政拨款</w:t>
      </w:r>
      <w:r>
        <w:rPr>
          <w:rFonts w:ascii="仿宋" w:eastAsia="仿宋" w:hAnsi="仿宋"/>
          <w:color w:val="000000"/>
          <w:sz w:val="32"/>
          <w:szCs w:val="32"/>
        </w:rPr>
        <w:t>收入</w:t>
      </w:r>
      <w:r>
        <w:rPr>
          <w:rFonts w:ascii="仿宋" w:eastAsia="仿宋" w:hAnsi="仿宋" w:hint="eastAsia"/>
          <w:color w:val="000000"/>
          <w:sz w:val="32"/>
          <w:szCs w:val="32"/>
        </w:rPr>
        <w:t>2423.74</w:t>
      </w:r>
      <w:r>
        <w:rPr>
          <w:rFonts w:ascii="仿宋" w:eastAsia="仿宋" w:hAnsi="仿宋" w:hint="eastAsia"/>
          <w:color w:val="000000"/>
          <w:sz w:val="32"/>
          <w:szCs w:val="32"/>
        </w:rPr>
        <w:t>万</w:t>
      </w:r>
      <w:r>
        <w:rPr>
          <w:rFonts w:ascii="仿宋" w:eastAsia="仿宋" w:hAnsi="仿宋"/>
          <w:color w:val="000000"/>
          <w:sz w:val="32"/>
          <w:szCs w:val="32"/>
        </w:rPr>
        <w:t>元</w:t>
      </w:r>
      <w:r>
        <w:rPr>
          <w:rFonts w:ascii="仿宋" w:eastAsia="仿宋" w:hAnsi="仿宋" w:hint="eastAsia"/>
          <w:color w:val="000000"/>
          <w:sz w:val="32"/>
          <w:szCs w:val="32"/>
        </w:rPr>
        <w:t>（其中城管执法收入</w:t>
      </w:r>
      <w:r>
        <w:rPr>
          <w:rFonts w:ascii="仿宋" w:eastAsia="仿宋" w:hAnsi="仿宋" w:hint="eastAsia"/>
          <w:color w:val="000000"/>
          <w:sz w:val="32"/>
          <w:szCs w:val="32"/>
        </w:rPr>
        <w:t>2423.74</w:t>
      </w:r>
      <w:r>
        <w:rPr>
          <w:rFonts w:ascii="仿宋" w:eastAsia="仿宋" w:hAnsi="仿宋" w:hint="eastAsia"/>
          <w:color w:val="000000"/>
          <w:sz w:val="32"/>
          <w:szCs w:val="32"/>
        </w:rPr>
        <w:t>万元），</w:t>
      </w:r>
      <w:r>
        <w:rPr>
          <w:rFonts w:ascii="仿宋" w:eastAsia="仿宋" w:hAnsi="仿宋"/>
          <w:color w:val="000000"/>
          <w:sz w:val="32"/>
          <w:szCs w:val="32"/>
        </w:rPr>
        <w:t>20</w:t>
      </w:r>
      <w:r>
        <w:rPr>
          <w:rFonts w:ascii="仿宋" w:eastAsia="仿宋" w:hAnsi="仿宋" w:hint="eastAsia"/>
          <w:color w:val="000000"/>
          <w:sz w:val="32"/>
          <w:szCs w:val="32"/>
        </w:rPr>
        <w:t>16</w:t>
      </w:r>
      <w:r>
        <w:rPr>
          <w:rFonts w:ascii="仿宋" w:eastAsia="仿宋" w:hAnsi="仿宋"/>
          <w:color w:val="000000"/>
          <w:sz w:val="32"/>
          <w:szCs w:val="32"/>
        </w:rPr>
        <w:t>年支出</w:t>
      </w:r>
      <w:r>
        <w:rPr>
          <w:rFonts w:ascii="仿宋" w:eastAsia="仿宋" w:hAnsi="仿宋" w:hint="eastAsia"/>
          <w:color w:val="000000"/>
          <w:sz w:val="32"/>
          <w:szCs w:val="32"/>
        </w:rPr>
        <w:t>2679.9</w:t>
      </w:r>
      <w:r>
        <w:rPr>
          <w:rFonts w:ascii="仿宋" w:eastAsia="仿宋" w:hAnsi="仿宋" w:hint="eastAsia"/>
          <w:color w:val="000000"/>
          <w:sz w:val="32"/>
          <w:szCs w:val="32"/>
        </w:rPr>
        <w:t>万</w:t>
      </w:r>
      <w:r>
        <w:rPr>
          <w:rFonts w:ascii="仿宋" w:eastAsia="仿宋" w:hAnsi="仿宋"/>
          <w:color w:val="000000"/>
          <w:sz w:val="32"/>
          <w:szCs w:val="32"/>
        </w:rPr>
        <w:t>元</w:t>
      </w:r>
      <w:r>
        <w:rPr>
          <w:rFonts w:ascii="仿宋" w:eastAsia="仿宋" w:hAnsi="仿宋" w:hint="eastAsia"/>
          <w:color w:val="000000"/>
          <w:sz w:val="32"/>
          <w:szCs w:val="32"/>
        </w:rPr>
        <w:t>（包括基本支出</w:t>
      </w:r>
      <w:r>
        <w:rPr>
          <w:rFonts w:ascii="仿宋" w:eastAsia="仿宋" w:hAnsi="仿宋" w:hint="eastAsia"/>
          <w:color w:val="000000"/>
          <w:sz w:val="32"/>
          <w:szCs w:val="32"/>
        </w:rPr>
        <w:t>2191.82</w:t>
      </w:r>
      <w:r>
        <w:rPr>
          <w:rFonts w:ascii="仿宋" w:eastAsia="仿宋" w:hAnsi="仿宋" w:hint="eastAsia"/>
          <w:color w:val="000000"/>
          <w:sz w:val="32"/>
          <w:szCs w:val="32"/>
        </w:rPr>
        <w:t>万元和项目支出</w:t>
      </w:r>
      <w:r>
        <w:rPr>
          <w:rFonts w:ascii="仿宋" w:eastAsia="仿宋" w:hAnsi="仿宋" w:hint="eastAsia"/>
          <w:color w:val="000000"/>
          <w:sz w:val="32"/>
          <w:szCs w:val="32"/>
        </w:rPr>
        <w:t>488.08</w:t>
      </w:r>
      <w:r>
        <w:rPr>
          <w:rFonts w:ascii="仿宋" w:eastAsia="仿宋" w:hAnsi="仿宋" w:hint="eastAsia"/>
          <w:color w:val="000000"/>
          <w:sz w:val="32"/>
          <w:szCs w:val="32"/>
        </w:rPr>
        <w:t>万元。基本支出主要是人员支出和办公费、电费、邮电费、公务用车运行维护费等保障机关运行费用支出；项目支出主要是保障数字城管运行费用支出及系统软件购置，房屋、停车场等租赁费用，设备维修及购置，城市管理费用等）</w:t>
      </w:r>
      <w:r>
        <w:rPr>
          <w:rFonts w:ascii="仿宋" w:eastAsia="仿宋" w:hAnsi="仿宋"/>
          <w:color w:val="000000"/>
          <w:sz w:val="32"/>
          <w:szCs w:val="32"/>
        </w:rPr>
        <w:t>，年末结转和结余</w:t>
      </w:r>
      <w:r>
        <w:rPr>
          <w:rFonts w:ascii="仿宋" w:eastAsia="仿宋" w:hAnsi="仿宋" w:hint="eastAsia"/>
          <w:color w:val="000000"/>
          <w:sz w:val="32"/>
          <w:szCs w:val="32"/>
        </w:rPr>
        <w:t>432.3</w:t>
      </w:r>
      <w:r>
        <w:rPr>
          <w:rFonts w:ascii="仿宋" w:eastAsia="仿宋" w:hAnsi="仿宋" w:hint="eastAsia"/>
          <w:color w:val="000000"/>
          <w:sz w:val="32"/>
          <w:szCs w:val="32"/>
        </w:rPr>
        <w:t>万</w:t>
      </w:r>
      <w:r>
        <w:rPr>
          <w:rFonts w:ascii="仿宋" w:eastAsia="仿宋" w:hAnsi="仿宋"/>
          <w:color w:val="000000"/>
          <w:sz w:val="32"/>
          <w:szCs w:val="32"/>
        </w:rPr>
        <w:t>元</w:t>
      </w:r>
      <w:r>
        <w:rPr>
          <w:rFonts w:ascii="仿宋" w:eastAsia="仿宋" w:hAnsi="仿宋" w:hint="eastAsia"/>
          <w:color w:val="000000"/>
          <w:sz w:val="32"/>
          <w:szCs w:val="32"/>
        </w:rPr>
        <w:t>。（</w:t>
      </w:r>
      <w:r>
        <w:rPr>
          <w:rFonts w:ascii="仿宋" w:eastAsia="仿宋" w:hAnsi="仿宋" w:hint="eastAsia"/>
          <w:color w:val="000000"/>
          <w:sz w:val="32"/>
          <w:szCs w:val="32"/>
        </w:rPr>
        <w:t>2</w:t>
      </w:r>
      <w:r>
        <w:rPr>
          <w:rFonts w:ascii="仿宋" w:eastAsia="仿宋" w:hAnsi="仿宋" w:hint="eastAsia"/>
          <w:color w:val="000000"/>
          <w:sz w:val="32"/>
          <w:szCs w:val="32"/>
        </w:rPr>
        <w:t>）</w:t>
      </w:r>
      <w:r>
        <w:rPr>
          <w:rFonts w:ascii="仿宋" w:eastAsia="仿宋" w:hAnsi="仿宋" w:hint="eastAsia"/>
          <w:color w:val="000000"/>
          <w:sz w:val="32"/>
          <w:szCs w:val="32"/>
        </w:rPr>
        <w:t>2016</w:t>
      </w:r>
      <w:r>
        <w:rPr>
          <w:rFonts w:ascii="仿宋" w:eastAsia="仿宋" w:hAnsi="仿宋" w:hint="eastAsia"/>
          <w:color w:val="000000"/>
          <w:sz w:val="32"/>
          <w:szCs w:val="32"/>
        </w:rPr>
        <w:t>年收支比</w:t>
      </w:r>
      <w:r>
        <w:rPr>
          <w:rFonts w:ascii="仿宋" w:eastAsia="仿宋" w:hAnsi="仿宋" w:hint="eastAsia"/>
          <w:color w:val="000000"/>
          <w:sz w:val="32"/>
          <w:szCs w:val="32"/>
        </w:rPr>
        <w:t>2015</w:t>
      </w:r>
      <w:r>
        <w:rPr>
          <w:rFonts w:ascii="仿宋" w:eastAsia="仿宋" w:hAnsi="仿宋" w:hint="eastAsia"/>
          <w:color w:val="000000"/>
          <w:sz w:val="32"/>
          <w:szCs w:val="32"/>
        </w:rPr>
        <w:t>年及</w:t>
      </w:r>
      <w:r>
        <w:rPr>
          <w:rFonts w:ascii="仿宋" w:eastAsia="仿宋" w:hAnsi="仿宋" w:hint="eastAsia"/>
          <w:color w:val="000000"/>
          <w:sz w:val="32"/>
          <w:szCs w:val="32"/>
        </w:rPr>
        <w:t>2016</w:t>
      </w:r>
      <w:r>
        <w:rPr>
          <w:rFonts w:ascii="仿宋" w:eastAsia="仿宋" w:hAnsi="仿宋" w:hint="eastAsia"/>
          <w:color w:val="000000"/>
          <w:sz w:val="32"/>
          <w:szCs w:val="32"/>
        </w:rPr>
        <w:lastRenderedPageBreak/>
        <w:t>年预算情况有所增长；增长原因为</w:t>
      </w:r>
      <w:r>
        <w:rPr>
          <w:rFonts w:ascii="仿宋" w:eastAsia="仿宋" w:hAnsi="仿宋" w:hint="eastAsia"/>
          <w:color w:val="000000"/>
          <w:sz w:val="32"/>
          <w:szCs w:val="32"/>
        </w:rPr>
        <w:t>2016</w:t>
      </w:r>
      <w:r>
        <w:rPr>
          <w:rFonts w:ascii="仿宋" w:eastAsia="仿宋" w:hAnsi="仿宋" w:hint="eastAsia"/>
          <w:color w:val="000000"/>
          <w:sz w:val="32"/>
          <w:szCs w:val="32"/>
        </w:rPr>
        <w:t>年数字城管系统建设、数字城管网格测绘、三轮车治理、大气污染治理及人员经费等收支有所增加。</w:t>
      </w:r>
    </w:p>
    <w:p w:rsidR="001415A3" w:rsidRDefault="007D2755">
      <w:pPr>
        <w:pStyle w:val="a5"/>
        <w:spacing w:before="0" w:beforeAutospacing="0" w:after="0" w:afterAutospacing="0"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、机关运行经费共计支出</w:t>
      </w:r>
      <w:r>
        <w:rPr>
          <w:rFonts w:ascii="仿宋" w:eastAsia="仿宋" w:hAnsi="仿宋" w:hint="eastAsia"/>
          <w:color w:val="000000"/>
          <w:sz w:val="32"/>
          <w:szCs w:val="32"/>
        </w:rPr>
        <w:t>137.69</w:t>
      </w:r>
      <w:r>
        <w:rPr>
          <w:rFonts w:ascii="仿宋" w:eastAsia="仿宋" w:hAnsi="仿宋" w:hint="eastAsia"/>
          <w:color w:val="000000"/>
          <w:sz w:val="32"/>
          <w:szCs w:val="32"/>
        </w:rPr>
        <w:t>万元。主要包括机</w:t>
      </w:r>
      <w:r>
        <w:rPr>
          <w:rFonts w:ascii="仿宋" w:eastAsia="仿宋" w:hAnsi="仿宋" w:hint="eastAsia"/>
          <w:color w:val="000000"/>
          <w:sz w:val="32"/>
          <w:szCs w:val="32"/>
        </w:rPr>
        <w:t>关办公费、电费、电话费、公务用车运行维护费、固定资产日常维修等公用经费的支出。</w:t>
      </w:r>
    </w:p>
    <w:p w:rsidR="001415A3" w:rsidRDefault="007D2755">
      <w:pPr>
        <w:pStyle w:val="a5"/>
        <w:spacing w:before="0" w:beforeAutospacing="0" w:after="0" w:afterAutospacing="0"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hint="eastAsia"/>
          <w:color w:val="000000"/>
          <w:sz w:val="32"/>
          <w:szCs w:val="32"/>
        </w:rPr>
        <w:t>、</w:t>
      </w:r>
      <w:r>
        <w:rPr>
          <w:rFonts w:ascii="仿宋" w:eastAsia="仿宋" w:hAnsi="仿宋"/>
          <w:color w:val="000000"/>
          <w:sz w:val="32"/>
          <w:szCs w:val="32"/>
        </w:rPr>
        <w:t>我</w:t>
      </w:r>
      <w:r>
        <w:rPr>
          <w:rFonts w:ascii="仿宋" w:eastAsia="仿宋" w:hAnsi="仿宋" w:hint="eastAsia"/>
          <w:color w:val="000000"/>
          <w:sz w:val="32"/>
          <w:szCs w:val="32"/>
        </w:rPr>
        <w:t>单位</w:t>
      </w:r>
      <w:r>
        <w:rPr>
          <w:rFonts w:ascii="仿宋" w:eastAsia="仿宋" w:hAnsi="仿宋"/>
          <w:color w:val="000000"/>
          <w:sz w:val="32"/>
          <w:szCs w:val="32"/>
        </w:rPr>
        <w:t>预算全部为一般公共财政预算拨款，没有政府性基金预算财政拨款</w:t>
      </w:r>
      <w:r>
        <w:rPr>
          <w:rFonts w:ascii="仿宋" w:eastAsia="仿宋" w:hAnsi="仿宋" w:hint="eastAsia"/>
          <w:color w:val="000000"/>
          <w:sz w:val="32"/>
          <w:szCs w:val="32"/>
        </w:rPr>
        <w:t>和国有资本经营预算收支</w:t>
      </w:r>
      <w:r>
        <w:rPr>
          <w:rFonts w:ascii="仿宋" w:eastAsia="仿宋" w:hAnsi="仿宋"/>
          <w:color w:val="000000"/>
          <w:sz w:val="32"/>
          <w:szCs w:val="32"/>
        </w:rPr>
        <w:t>。</w:t>
      </w:r>
    </w:p>
    <w:p w:rsidR="001415A3" w:rsidRDefault="007D2755">
      <w:pPr>
        <w:autoSpaceDE w:val="0"/>
        <w:autoSpaceDN w:val="0"/>
        <w:adjustRightInd w:val="0"/>
        <w:spacing w:line="600" w:lineRule="exact"/>
        <w:ind w:firstLineChars="200" w:firstLine="643"/>
        <w:jc w:val="left"/>
        <w:rPr>
          <w:rFonts w:ascii="楷体" w:eastAsia="楷体" w:hAnsi="楷体" w:cs="Times New Roman"/>
          <w:b/>
          <w:bCs/>
          <w:sz w:val="32"/>
          <w:szCs w:val="32"/>
        </w:rPr>
      </w:pPr>
      <w:r>
        <w:rPr>
          <w:rFonts w:ascii="楷体" w:eastAsia="楷体" w:hAnsi="楷体" w:cs="Times New Roman" w:hint="eastAsia"/>
          <w:b/>
          <w:bCs/>
          <w:sz w:val="32"/>
          <w:szCs w:val="32"/>
        </w:rPr>
        <w:t>（五）“三公”经费情况及增减变化原因</w:t>
      </w:r>
    </w:p>
    <w:p w:rsidR="001415A3" w:rsidRDefault="007D2755">
      <w:pPr>
        <w:autoSpaceDE w:val="0"/>
        <w:autoSpaceDN w:val="0"/>
        <w:adjustRightInd w:val="0"/>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2016</w:t>
      </w:r>
      <w:r>
        <w:rPr>
          <w:rFonts w:ascii="仿宋" w:eastAsia="仿宋" w:hAnsi="仿宋" w:cs="仿宋" w:hint="eastAsia"/>
          <w:sz w:val="32"/>
          <w:szCs w:val="32"/>
        </w:rPr>
        <w:t>年度部门“三公”经费支出</w:t>
      </w:r>
      <w:r>
        <w:rPr>
          <w:rFonts w:ascii="仿宋" w:eastAsia="仿宋" w:hAnsi="仿宋" w:cs="仿宋" w:hint="eastAsia"/>
          <w:sz w:val="32"/>
          <w:szCs w:val="32"/>
        </w:rPr>
        <w:t xml:space="preserve"> 179.5</w:t>
      </w:r>
      <w:r>
        <w:rPr>
          <w:rFonts w:ascii="仿宋" w:eastAsia="仿宋" w:hAnsi="仿宋" w:cs="仿宋" w:hint="eastAsia"/>
          <w:sz w:val="32"/>
          <w:szCs w:val="32"/>
        </w:rPr>
        <w:t>万元。比预算增加</w:t>
      </w:r>
      <w:r>
        <w:rPr>
          <w:rFonts w:ascii="仿宋" w:eastAsia="仿宋" w:hAnsi="仿宋" w:cs="仿宋" w:hint="eastAsia"/>
          <w:sz w:val="32"/>
          <w:szCs w:val="32"/>
        </w:rPr>
        <w:t>150.81</w:t>
      </w:r>
      <w:r>
        <w:rPr>
          <w:rFonts w:ascii="仿宋" w:eastAsia="仿宋" w:hAnsi="仿宋" w:cs="仿宋" w:hint="eastAsia"/>
          <w:sz w:val="32"/>
          <w:szCs w:val="32"/>
        </w:rPr>
        <w:t>万元，比</w:t>
      </w:r>
      <w:r>
        <w:rPr>
          <w:rFonts w:ascii="仿宋" w:eastAsia="仿宋" w:hAnsi="仿宋" w:cs="仿宋" w:hint="eastAsia"/>
          <w:sz w:val="32"/>
          <w:szCs w:val="32"/>
        </w:rPr>
        <w:t>2015</w:t>
      </w:r>
      <w:r>
        <w:rPr>
          <w:rFonts w:ascii="仿宋" w:eastAsia="仿宋" w:hAnsi="仿宋" w:cs="仿宋" w:hint="eastAsia"/>
          <w:sz w:val="32"/>
          <w:szCs w:val="32"/>
        </w:rPr>
        <w:t>年度决算减少</w:t>
      </w:r>
      <w:r>
        <w:rPr>
          <w:rFonts w:ascii="仿宋" w:eastAsia="仿宋" w:hAnsi="仿宋" w:cs="仿宋" w:hint="eastAsia"/>
          <w:sz w:val="32"/>
          <w:szCs w:val="32"/>
        </w:rPr>
        <w:t>87.9</w:t>
      </w:r>
      <w:r>
        <w:rPr>
          <w:rFonts w:ascii="仿宋" w:eastAsia="仿宋" w:hAnsi="仿宋" w:cs="仿宋" w:hint="eastAsia"/>
          <w:sz w:val="32"/>
          <w:szCs w:val="32"/>
        </w:rPr>
        <w:t>万元。</w:t>
      </w:r>
    </w:p>
    <w:p w:rsidR="001415A3" w:rsidRDefault="007D2755">
      <w:pPr>
        <w:autoSpaceDE w:val="0"/>
        <w:autoSpaceDN w:val="0"/>
        <w:adjustRightInd w:val="0"/>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其中因公出国（境）费</w:t>
      </w:r>
      <w:r>
        <w:rPr>
          <w:rFonts w:ascii="仿宋" w:eastAsia="仿宋" w:hAnsi="仿宋" w:cs="仿宋" w:hint="eastAsia"/>
          <w:sz w:val="32"/>
          <w:szCs w:val="32"/>
        </w:rPr>
        <w:t>0</w:t>
      </w:r>
      <w:r>
        <w:rPr>
          <w:rFonts w:ascii="仿宋" w:eastAsia="仿宋" w:hAnsi="仿宋" w:cs="仿宋" w:hint="eastAsia"/>
          <w:sz w:val="32"/>
          <w:szCs w:val="32"/>
        </w:rPr>
        <w:t>万元（本单位</w:t>
      </w:r>
      <w:r>
        <w:rPr>
          <w:rFonts w:ascii="仿宋" w:eastAsia="仿宋" w:hAnsi="仿宋" w:cs="仿宋" w:hint="eastAsia"/>
          <w:sz w:val="32"/>
          <w:szCs w:val="32"/>
        </w:rPr>
        <w:t>2016</w:t>
      </w:r>
      <w:r>
        <w:rPr>
          <w:rFonts w:ascii="仿宋" w:eastAsia="仿宋" w:hAnsi="仿宋" w:cs="仿宋" w:hint="eastAsia"/>
          <w:sz w:val="32"/>
          <w:szCs w:val="32"/>
        </w:rPr>
        <w:t>年度组织出国（境）团组</w:t>
      </w:r>
      <w:r>
        <w:rPr>
          <w:rFonts w:ascii="仿宋" w:eastAsia="仿宋" w:hAnsi="仿宋" w:cs="仿宋" w:hint="eastAsia"/>
          <w:sz w:val="32"/>
          <w:szCs w:val="32"/>
        </w:rPr>
        <w:t>0</w:t>
      </w:r>
      <w:r>
        <w:rPr>
          <w:rFonts w:ascii="仿宋" w:eastAsia="仿宋" w:hAnsi="仿宋" w:cs="仿宋" w:hint="eastAsia"/>
          <w:sz w:val="32"/>
          <w:szCs w:val="32"/>
        </w:rPr>
        <w:t>个，因公出国（境）人次数</w:t>
      </w:r>
      <w:r>
        <w:rPr>
          <w:rFonts w:ascii="仿宋" w:eastAsia="仿宋" w:hAnsi="仿宋" w:cs="仿宋" w:hint="eastAsia"/>
          <w:sz w:val="32"/>
          <w:szCs w:val="32"/>
        </w:rPr>
        <w:t>0</w:t>
      </w:r>
      <w:r>
        <w:rPr>
          <w:rFonts w:ascii="仿宋" w:eastAsia="仿宋" w:hAnsi="仿宋" w:cs="仿宋" w:hint="eastAsia"/>
          <w:sz w:val="32"/>
          <w:szCs w:val="32"/>
        </w:rPr>
        <w:t>人），与预算持平，与</w:t>
      </w:r>
      <w:r>
        <w:rPr>
          <w:rFonts w:ascii="仿宋" w:eastAsia="仿宋" w:hAnsi="仿宋" w:cs="仿宋" w:hint="eastAsia"/>
          <w:sz w:val="32"/>
          <w:szCs w:val="32"/>
        </w:rPr>
        <w:t>2015</w:t>
      </w:r>
      <w:r>
        <w:rPr>
          <w:rFonts w:ascii="仿宋" w:eastAsia="仿宋" w:hAnsi="仿宋" w:cs="仿宋" w:hint="eastAsia"/>
          <w:sz w:val="32"/>
          <w:szCs w:val="32"/>
        </w:rPr>
        <w:t>年决算持平；公务用车购置及运行维护费</w:t>
      </w:r>
      <w:r>
        <w:rPr>
          <w:rFonts w:ascii="仿宋" w:eastAsia="仿宋" w:hAnsi="仿宋" w:cs="仿宋" w:hint="eastAsia"/>
          <w:sz w:val="32"/>
          <w:szCs w:val="32"/>
        </w:rPr>
        <w:t>179.5</w:t>
      </w:r>
      <w:r>
        <w:rPr>
          <w:rFonts w:ascii="仿宋" w:eastAsia="仿宋" w:hAnsi="仿宋" w:cs="仿宋" w:hint="eastAsia"/>
          <w:sz w:val="32"/>
          <w:szCs w:val="32"/>
        </w:rPr>
        <w:t>万元（公务用车购置</w:t>
      </w:r>
      <w:r>
        <w:rPr>
          <w:rFonts w:ascii="仿宋" w:eastAsia="仿宋" w:hAnsi="仿宋" w:cs="仿宋" w:hint="eastAsia"/>
          <w:sz w:val="32"/>
          <w:szCs w:val="32"/>
        </w:rPr>
        <w:t>数量为</w:t>
      </w:r>
      <w:r>
        <w:rPr>
          <w:rFonts w:ascii="仿宋" w:eastAsia="仿宋" w:hAnsi="仿宋" w:cs="仿宋" w:hint="eastAsia"/>
          <w:sz w:val="32"/>
          <w:szCs w:val="32"/>
        </w:rPr>
        <w:t>0</w:t>
      </w:r>
      <w:r>
        <w:rPr>
          <w:rFonts w:ascii="仿宋" w:eastAsia="仿宋" w:hAnsi="仿宋" w:cs="仿宋" w:hint="eastAsia"/>
          <w:sz w:val="32"/>
          <w:szCs w:val="32"/>
        </w:rPr>
        <w:t>辆，购置金额</w:t>
      </w:r>
      <w:r>
        <w:rPr>
          <w:rFonts w:ascii="仿宋" w:eastAsia="仿宋" w:hAnsi="仿宋" w:cs="仿宋" w:hint="eastAsia"/>
          <w:sz w:val="32"/>
          <w:szCs w:val="32"/>
        </w:rPr>
        <w:t>0</w:t>
      </w:r>
      <w:r>
        <w:rPr>
          <w:rFonts w:ascii="仿宋" w:eastAsia="仿宋" w:hAnsi="仿宋" w:cs="仿宋" w:hint="eastAsia"/>
          <w:sz w:val="32"/>
          <w:szCs w:val="32"/>
        </w:rPr>
        <w:t>万元，公务运行维护费</w:t>
      </w:r>
      <w:r>
        <w:rPr>
          <w:rFonts w:ascii="仿宋" w:eastAsia="仿宋" w:hAnsi="仿宋" w:cs="仿宋" w:hint="eastAsia"/>
          <w:sz w:val="32"/>
          <w:szCs w:val="32"/>
        </w:rPr>
        <w:t>179.5</w:t>
      </w:r>
      <w:r>
        <w:rPr>
          <w:rFonts w:ascii="仿宋" w:eastAsia="仿宋" w:hAnsi="仿宋" w:cs="仿宋" w:hint="eastAsia"/>
          <w:sz w:val="32"/>
          <w:szCs w:val="32"/>
        </w:rPr>
        <w:t>万元，年末公务用车保有量</w:t>
      </w:r>
      <w:r>
        <w:rPr>
          <w:rFonts w:ascii="仿宋" w:eastAsia="仿宋" w:hAnsi="仿宋" w:cs="仿宋" w:hint="eastAsia"/>
          <w:sz w:val="32"/>
          <w:szCs w:val="32"/>
        </w:rPr>
        <w:t>65</w:t>
      </w:r>
      <w:r>
        <w:rPr>
          <w:rFonts w:ascii="仿宋" w:eastAsia="仿宋" w:hAnsi="仿宋" w:cs="仿宋" w:hint="eastAsia"/>
          <w:sz w:val="32"/>
          <w:szCs w:val="32"/>
        </w:rPr>
        <w:t>辆</w:t>
      </w:r>
      <w:r>
        <w:rPr>
          <w:rFonts w:ascii="仿宋" w:eastAsia="仿宋" w:hAnsi="仿宋" w:cs="仿宋" w:hint="eastAsia"/>
          <w:sz w:val="32"/>
          <w:szCs w:val="32"/>
        </w:rPr>
        <w:t>)</w:t>
      </w:r>
      <w:r>
        <w:rPr>
          <w:rFonts w:ascii="仿宋" w:eastAsia="仿宋" w:hAnsi="仿宋" w:cs="仿宋" w:hint="eastAsia"/>
          <w:sz w:val="32"/>
          <w:szCs w:val="32"/>
        </w:rPr>
        <w:t>，比预算增加</w:t>
      </w:r>
      <w:r>
        <w:rPr>
          <w:rFonts w:ascii="仿宋" w:eastAsia="仿宋" w:hAnsi="仿宋" w:cs="仿宋" w:hint="eastAsia"/>
          <w:sz w:val="32"/>
          <w:szCs w:val="32"/>
        </w:rPr>
        <w:t>154.5</w:t>
      </w:r>
      <w:r>
        <w:rPr>
          <w:rFonts w:ascii="仿宋" w:eastAsia="仿宋" w:hAnsi="仿宋" w:cs="仿宋" w:hint="eastAsia"/>
          <w:sz w:val="32"/>
          <w:szCs w:val="32"/>
        </w:rPr>
        <w:t>万元，比</w:t>
      </w:r>
      <w:r>
        <w:rPr>
          <w:rFonts w:ascii="仿宋" w:eastAsia="仿宋" w:hAnsi="仿宋" w:cs="仿宋" w:hint="eastAsia"/>
          <w:sz w:val="32"/>
          <w:szCs w:val="32"/>
        </w:rPr>
        <w:t>2015</w:t>
      </w:r>
      <w:r>
        <w:rPr>
          <w:rFonts w:ascii="仿宋" w:eastAsia="仿宋" w:hAnsi="仿宋" w:cs="仿宋" w:hint="eastAsia"/>
          <w:sz w:val="32"/>
          <w:szCs w:val="32"/>
        </w:rPr>
        <w:t>年度决算减少</w:t>
      </w:r>
      <w:r>
        <w:rPr>
          <w:rFonts w:ascii="仿宋" w:eastAsia="仿宋" w:hAnsi="仿宋" w:cs="仿宋" w:hint="eastAsia"/>
          <w:sz w:val="32"/>
          <w:szCs w:val="32"/>
        </w:rPr>
        <w:t>87.9</w:t>
      </w:r>
      <w:r>
        <w:rPr>
          <w:rFonts w:ascii="仿宋" w:eastAsia="仿宋" w:hAnsi="仿宋" w:cs="仿宋" w:hint="eastAsia"/>
          <w:sz w:val="32"/>
          <w:szCs w:val="32"/>
        </w:rPr>
        <w:t>万元，原因是</w:t>
      </w:r>
      <w:r>
        <w:rPr>
          <w:rFonts w:ascii="仿宋" w:eastAsia="仿宋" w:hAnsi="仿宋" w:hint="eastAsia"/>
          <w:color w:val="000000"/>
          <w:sz w:val="32"/>
          <w:szCs w:val="32"/>
        </w:rPr>
        <w:t>我局现有执法车辆多数磨损严重，故障频出，维修费用</w:t>
      </w:r>
      <w:r>
        <w:rPr>
          <w:rFonts w:ascii="仿宋" w:eastAsia="仿宋" w:hAnsi="仿宋" w:hint="eastAsia"/>
          <w:color w:val="000000"/>
          <w:sz w:val="32"/>
          <w:szCs w:val="32"/>
        </w:rPr>
        <w:lastRenderedPageBreak/>
        <w:t>较高，特申请公开拍卖了</w:t>
      </w:r>
      <w:r>
        <w:rPr>
          <w:rFonts w:ascii="仿宋" w:eastAsia="仿宋" w:hAnsi="仿宋" w:hint="eastAsia"/>
          <w:color w:val="000000"/>
          <w:sz w:val="32"/>
          <w:szCs w:val="32"/>
        </w:rPr>
        <w:t>10</w:t>
      </w:r>
      <w:r>
        <w:rPr>
          <w:rFonts w:ascii="仿宋" w:eastAsia="仿宋" w:hAnsi="仿宋" w:hint="eastAsia"/>
          <w:color w:val="000000"/>
          <w:sz w:val="32"/>
          <w:szCs w:val="32"/>
        </w:rPr>
        <w:t>辆老化、陈旧车辆；</w:t>
      </w:r>
      <w:r>
        <w:rPr>
          <w:rFonts w:ascii="仿宋" w:eastAsia="仿宋" w:hAnsi="仿宋"/>
          <w:color w:val="000000"/>
          <w:sz w:val="32"/>
          <w:szCs w:val="32"/>
        </w:rPr>
        <w:t xml:space="preserve"> </w:t>
      </w:r>
      <w:r>
        <w:rPr>
          <w:rFonts w:ascii="仿宋" w:eastAsia="仿宋" w:hAnsi="仿宋"/>
          <w:color w:val="000000"/>
          <w:sz w:val="32"/>
          <w:szCs w:val="32"/>
        </w:rPr>
        <w:t>公务接待费</w:t>
      </w:r>
      <w:r>
        <w:rPr>
          <w:rFonts w:ascii="仿宋" w:eastAsia="仿宋" w:hAnsi="仿宋" w:hint="eastAsia"/>
          <w:color w:val="000000"/>
          <w:sz w:val="32"/>
          <w:szCs w:val="32"/>
        </w:rPr>
        <w:t>0</w:t>
      </w:r>
      <w:r>
        <w:rPr>
          <w:rFonts w:ascii="仿宋" w:eastAsia="仿宋" w:hAnsi="仿宋" w:hint="eastAsia"/>
          <w:color w:val="000000"/>
          <w:sz w:val="32"/>
          <w:szCs w:val="32"/>
        </w:rPr>
        <w:t>万元（</w:t>
      </w:r>
      <w:r>
        <w:rPr>
          <w:rFonts w:ascii="仿宋" w:eastAsia="仿宋" w:hAnsi="仿宋" w:hint="eastAsia"/>
          <w:color w:val="000000"/>
          <w:sz w:val="32"/>
          <w:szCs w:val="32"/>
        </w:rPr>
        <w:t>2016</w:t>
      </w:r>
      <w:r>
        <w:rPr>
          <w:rFonts w:ascii="仿宋" w:eastAsia="仿宋" w:hAnsi="仿宋" w:hint="eastAsia"/>
          <w:color w:val="000000"/>
          <w:sz w:val="32"/>
          <w:szCs w:val="32"/>
        </w:rPr>
        <w:t>年度国内公务接待</w:t>
      </w:r>
      <w:r>
        <w:rPr>
          <w:rFonts w:ascii="仿宋" w:eastAsia="仿宋" w:hAnsi="仿宋" w:hint="eastAsia"/>
          <w:color w:val="000000"/>
          <w:sz w:val="32"/>
          <w:szCs w:val="32"/>
        </w:rPr>
        <w:t>0</w:t>
      </w:r>
      <w:r>
        <w:rPr>
          <w:rFonts w:ascii="仿宋" w:eastAsia="仿宋" w:hAnsi="仿宋" w:hint="eastAsia"/>
          <w:color w:val="000000"/>
          <w:sz w:val="32"/>
          <w:szCs w:val="32"/>
        </w:rPr>
        <w:t>批次，合计接待</w:t>
      </w:r>
      <w:r>
        <w:rPr>
          <w:rFonts w:ascii="仿宋" w:eastAsia="仿宋" w:hAnsi="仿宋" w:hint="eastAsia"/>
          <w:color w:val="000000"/>
          <w:sz w:val="32"/>
          <w:szCs w:val="32"/>
        </w:rPr>
        <w:t>0</w:t>
      </w:r>
      <w:r>
        <w:rPr>
          <w:rFonts w:ascii="仿宋" w:eastAsia="仿宋" w:hAnsi="仿宋" w:hint="eastAsia"/>
          <w:color w:val="000000"/>
          <w:sz w:val="32"/>
          <w:szCs w:val="32"/>
        </w:rPr>
        <w:t>人次），比预算减少</w:t>
      </w:r>
      <w:r>
        <w:rPr>
          <w:rFonts w:ascii="仿宋" w:eastAsia="仿宋" w:hAnsi="仿宋" w:hint="eastAsia"/>
          <w:color w:val="000000"/>
          <w:sz w:val="32"/>
          <w:szCs w:val="32"/>
        </w:rPr>
        <w:t xml:space="preserve"> 3.69 </w:t>
      </w:r>
      <w:r>
        <w:rPr>
          <w:rFonts w:ascii="仿宋" w:eastAsia="仿宋" w:hAnsi="仿宋" w:hint="eastAsia"/>
          <w:color w:val="000000"/>
          <w:sz w:val="32"/>
          <w:szCs w:val="32"/>
        </w:rPr>
        <w:t>万元，与</w:t>
      </w:r>
      <w:r>
        <w:rPr>
          <w:rFonts w:ascii="仿宋" w:eastAsia="仿宋" w:hAnsi="仿宋" w:hint="eastAsia"/>
          <w:color w:val="000000"/>
          <w:sz w:val="32"/>
          <w:szCs w:val="32"/>
        </w:rPr>
        <w:t>2015</w:t>
      </w:r>
      <w:r>
        <w:rPr>
          <w:rFonts w:ascii="仿宋" w:eastAsia="仿宋" w:hAnsi="仿宋" w:hint="eastAsia"/>
          <w:color w:val="000000"/>
          <w:sz w:val="32"/>
          <w:szCs w:val="32"/>
        </w:rPr>
        <w:t>年度决算持平，原因是</w:t>
      </w:r>
      <w:r>
        <w:rPr>
          <w:rFonts w:ascii="仿宋" w:eastAsia="仿宋" w:hAnsi="仿宋" w:cs="仿宋" w:hint="eastAsia"/>
          <w:sz w:val="32"/>
          <w:szCs w:val="32"/>
        </w:rPr>
        <w:t>严格控制接待标准和费用。</w:t>
      </w:r>
    </w:p>
    <w:p w:rsidR="001415A3" w:rsidRDefault="007D2755">
      <w:pPr>
        <w:autoSpaceDE w:val="0"/>
        <w:autoSpaceDN w:val="0"/>
        <w:adjustRightInd w:val="0"/>
        <w:spacing w:line="600" w:lineRule="exact"/>
        <w:ind w:firstLineChars="200" w:firstLine="643"/>
        <w:jc w:val="left"/>
        <w:rPr>
          <w:rFonts w:ascii="楷体" w:eastAsia="楷体" w:hAnsi="楷体" w:cs="仿宋"/>
          <w:b/>
          <w:sz w:val="32"/>
          <w:szCs w:val="32"/>
        </w:rPr>
      </w:pPr>
      <w:r>
        <w:rPr>
          <w:rFonts w:ascii="楷体" w:eastAsia="楷体" w:hAnsi="楷体" w:cs="仿宋" w:hint="eastAsia"/>
          <w:b/>
          <w:sz w:val="32"/>
          <w:szCs w:val="32"/>
        </w:rPr>
        <w:t>（六）机关运行经费支出情况说明</w:t>
      </w:r>
    </w:p>
    <w:p w:rsidR="001415A3" w:rsidRDefault="007D2755">
      <w:pPr>
        <w:autoSpaceDE w:val="0"/>
        <w:autoSpaceDN w:val="0"/>
        <w:adjustRightInd w:val="0"/>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2016</w:t>
      </w:r>
      <w:r>
        <w:rPr>
          <w:rFonts w:ascii="仿宋" w:eastAsia="仿宋" w:hAnsi="仿宋" w:cs="仿宋" w:hint="eastAsia"/>
          <w:sz w:val="32"/>
          <w:szCs w:val="32"/>
        </w:rPr>
        <w:t>年度部门机关运行经费支出</w:t>
      </w:r>
      <w:r>
        <w:rPr>
          <w:rFonts w:ascii="仿宋" w:eastAsia="仿宋" w:hAnsi="仿宋" w:cs="仿宋" w:hint="eastAsia"/>
          <w:sz w:val="32"/>
          <w:szCs w:val="32"/>
        </w:rPr>
        <w:t>137.69</w:t>
      </w:r>
      <w:r>
        <w:rPr>
          <w:rFonts w:ascii="仿宋" w:eastAsia="仿宋" w:hAnsi="仿宋" w:cs="仿宋" w:hint="eastAsia"/>
          <w:sz w:val="32"/>
          <w:szCs w:val="32"/>
        </w:rPr>
        <w:t>万元，比</w:t>
      </w:r>
      <w:r>
        <w:rPr>
          <w:rFonts w:ascii="仿宋" w:eastAsia="仿宋" w:hAnsi="仿宋" w:cs="仿宋" w:hint="eastAsia"/>
          <w:sz w:val="32"/>
          <w:szCs w:val="32"/>
        </w:rPr>
        <w:t>2015</w:t>
      </w:r>
      <w:r>
        <w:rPr>
          <w:rFonts w:ascii="仿宋" w:eastAsia="仿宋" w:hAnsi="仿宋" w:cs="仿宋" w:hint="eastAsia"/>
          <w:sz w:val="32"/>
          <w:szCs w:val="32"/>
        </w:rPr>
        <w:t>年度减少</w:t>
      </w:r>
      <w:r>
        <w:rPr>
          <w:rFonts w:ascii="仿宋" w:eastAsia="仿宋" w:hAnsi="仿宋" w:cs="仿宋" w:hint="eastAsia"/>
          <w:sz w:val="32"/>
          <w:szCs w:val="32"/>
        </w:rPr>
        <w:t>0.37</w:t>
      </w:r>
      <w:r>
        <w:rPr>
          <w:rFonts w:ascii="仿宋" w:eastAsia="仿宋" w:hAnsi="仿宋" w:cs="仿宋" w:hint="eastAsia"/>
          <w:sz w:val="32"/>
          <w:szCs w:val="32"/>
        </w:rPr>
        <w:t>万元，原因是厉行节约，减少一般行政性支出。</w:t>
      </w:r>
    </w:p>
    <w:p w:rsidR="001415A3" w:rsidRDefault="007D2755">
      <w:pPr>
        <w:spacing w:line="600"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t>（七）绩效预算信息</w:t>
      </w:r>
    </w:p>
    <w:p w:rsidR="001415A3" w:rsidRDefault="007D2755">
      <w:pPr>
        <w:spacing w:line="600" w:lineRule="exact"/>
        <w:ind w:firstLineChars="200" w:firstLine="643"/>
        <w:jc w:val="left"/>
        <w:rPr>
          <w:rFonts w:ascii="楷体" w:eastAsia="楷体" w:hAnsi="楷体" w:cs="楷体"/>
          <w:b/>
          <w:sz w:val="32"/>
          <w:szCs w:val="32"/>
        </w:rPr>
      </w:pPr>
      <w:bookmarkStart w:id="0" w:name="_Toc471398463"/>
      <w:r>
        <w:rPr>
          <w:rFonts w:ascii="楷体" w:eastAsia="楷体" w:hAnsi="楷体" w:cs="楷体" w:hint="eastAsia"/>
          <w:b/>
          <w:sz w:val="32"/>
          <w:szCs w:val="32"/>
        </w:rPr>
        <w:t>总体绩效目标：</w:t>
      </w:r>
    </w:p>
    <w:p w:rsidR="001415A3" w:rsidRDefault="007D275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2017</w:t>
      </w:r>
      <w:r>
        <w:rPr>
          <w:rFonts w:ascii="仿宋" w:eastAsia="仿宋" w:hAnsi="仿宋" w:cs="仿宋" w:hint="eastAsia"/>
          <w:sz w:val="32"/>
          <w:szCs w:val="32"/>
        </w:rPr>
        <w:t>年，我局紧紧围绕市委、市政府中心工作，不断理顺管理体制，破解管理难题，全面提升城市管理品质，为打造市民满意的幸福宜居城市奠定基础。通过抓队伍提高素质和能力，抓创新推动城市管理工作发展，落实精细管理，改善城市容貌，较好的完成了既定任务。现根据工作实际和工作目标，制定</w:t>
      </w:r>
      <w:r>
        <w:rPr>
          <w:rFonts w:ascii="仿宋" w:eastAsia="仿宋" w:hAnsi="仿宋" w:cs="仿宋" w:hint="eastAsia"/>
          <w:sz w:val="32"/>
          <w:szCs w:val="32"/>
        </w:rPr>
        <w:t>2017</w:t>
      </w:r>
      <w:r>
        <w:rPr>
          <w:rFonts w:ascii="仿宋" w:eastAsia="仿宋" w:hAnsi="仿宋" w:cs="仿宋" w:hint="eastAsia"/>
          <w:sz w:val="32"/>
          <w:szCs w:val="32"/>
        </w:rPr>
        <w:t>年各部门发展规划如下。</w:t>
      </w:r>
    </w:p>
    <w:p w:rsidR="001415A3" w:rsidRDefault="007D2755">
      <w:pPr>
        <w:spacing w:line="600" w:lineRule="exact"/>
        <w:ind w:firstLineChars="200" w:firstLine="643"/>
        <w:rPr>
          <w:rFonts w:ascii="仿宋" w:eastAsia="仿宋" w:hAnsi="仿宋" w:cs="仿宋"/>
          <w:sz w:val="32"/>
          <w:szCs w:val="32"/>
        </w:rPr>
      </w:pPr>
      <w:r>
        <w:rPr>
          <w:rFonts w:ascii="楷体_GB2312" w:eastAsia="楷体_GB2312" w:hAnsiTheme="majorEastAsia" w:hint="eastAsia"/>
          <w:b/>
          <w:sz w:val="32"/>
          <w:szCs w:val="32"/>
        </w:rPr>
        <w:t>1</w:t>
      </w:r>
      <w:r>
        <w:rPr>
          <w:rFonts w:ascii="楷体_GB2312" w:eastAsia="楷体_GB2312" w:hAnsiTheme="majorEastAsia" w:hint="eastAsia"/>
          <w:b/>
          <w:sz w:val="32"/>
          <w:szCs w:val="32"/>
        </w:rPr>
        <w:t>、</w:t>
      </w:r>
      <w:r>
        <w:rPr>
          <w:rFonts w:ascii="楷体_GB2312" w:eastAsia="楷体_GB2312" w:hAnsiTheme="majorEastAsia" w:hint="eastAsia"/>
          <w:b/>
          <w:sz w:val="32"/>
          <w:szCs w:val="32"/>
        </w:rPr>
        <w:t>保障空气质量，根治露天烧烤。</w:t>
      </w:r>
      <w:r>
        <w:rPr>
          <w:rFonts w:ascii="仿宋" w:eastAsia="仿宋" w:hAnsi="仿宋" w:cs="仿宋" w:hint="eastAsia"/>
          <w:sz w:val="32"/>
          <w:szCs w:val="32"/>
        </w:rPr>
        <w:t>全面清查市区内烧烤实</w:t>
      </w:r>
      <w:r>
        <w:rPr>
          <w:rFonts w:ascii="仿宋" w:eastAsia="仿宋" w:hAnsi="仿宋" w:cs="仿宋" w:hint="eastAsia"/>
          <w:sz w:val="32"/>
          <w:szCs w:val="32"/>
        </w:rPr>
        <w:t>际情况，对每户烧烤商户建立跟踪台帐，根据实际情况设定禁止区、限制区、规范区。禁止区为市区主干道、大型广场、行政单位周边，</w:t>
      </w:r>
      <w:r>
        <w:rPr>
          <w:rFonts w:ascii="仿宋" w:eastAsia="仿宋" w:hAnsi="仿宋" w:cs="仿宋" w:hint="eastAsia"/>
          <w:sz w:val="32"/>
          <w:szCs w:val="32"/>
        </w:rPr>
        <w:lastRenderedPageBreak/>
        <w:t>严禁经营烧烤和露天操作；限制区为次干道、小街巷、居民聚集区，烧烤炉具必须进店经营，安装油烟净化设备；规范区为大型烧烤市场、城市环路及城乡结合部，所有炉灶安装油烟净化设备，保证环境卫生秩序良好。筹建大型烧烤市场，将闲散烧烤商贩、烧烤集中区域的烧烤店统一迁至烧烤市场经营。</w:t>
      </w:r>
    </w:p>
    <w:p w:rsidR="001415A3" w:rsidRDefault="007D2755">
      <w:pPr>
        <w:spacing w:line="600" w:lineRule="exact"/>
        <w:ind w:firstLineChars="200" w:firstLine="643"/>
        <w:rPr>
          <w:rFonts w:ascii="仿宋" w:eastAsia="仿宋" w:hAnsi="仿宋" w:cs="仿宋"/>
          <w:sz w:val="32"/>
          <w:szCs w:val="32"/>
        </w:rPr>
      </w:pPr>
      <w:r>
        <w:rPr>
          <w:rFonts w:ascii="楷体_GB2312" w:eastAsia="楷体_GB2312" w:hAnsiTheme="majorEastAsia" w:hint="eastAsia"/>
          <w:b/>
          <w:sz w:val="32"/>
          <w:szCs w:val="32"/>
        </w:rPr>
        <w:t>2</w:t>
      </w:r>
      <w:r>
        <w:rPr>
          <w:rFonts w:ascii="楷体_GB2312" w:eastAsia="楷体_GB2312" w:hAnsiTheme="majorEastAsia" w:hint="eastAsia"/>
          <w:b/>
          <w:sz w:val="32"/>
          <w:szCs w:val="32"/>
        </w:rPr>
        <w:t>、</w:t>
      </w:r>
      <w:r>
        <w:rPr>
          <w:rFonts w:ascii="楷体_GB2312" w:eastAsia="楷体_GB2312" w:hAnsiTheme="majorEastAsia" w:hint="eastAsia"/>
          <w:b/>
          <w:sz w:val="32"/>
          <w:szCs w:val="32"/>
        </w:rPr>
        <w:t>深化综合治理，提升市容环境。</w:t>
      </w:r>
      <w:r>
        <w:rPr>
          <w:rFonts w:ascii="仿宋" w:eastAsia="仿宋" w:hAnsi="仿宋" w:cs="仿宋" w:hint="eastAsia"/>
          <w:sz w:val="32"/>
          <w:szCs w:val="32"/>
        </w:rPr>
        <w:t>严格落实道路分级管理、队员包门店等管理制度，深入开展主次干道、重点区域、背街小巷综合治理，</w:t>
      </w:r>
      <w:r>
        <w:rPr>
          <w:rFonts w:ascii="仿宋" w:eastAsia="仿宋" w:hAnsi="仿宋" w:cs="仿宋" w:hint="eastAsia"/>
          <w:sz w:val="32"/>
          <w:szCs w:val="32"/>
        </w:rPr>
        <w:t>集中治理各类城市乱象，全面提升城市管理水平，逐步实现城市管理向</w:t>
      </w:r>
      <w:r>
        <w:rPr>
          <w:rFonts w:ascii="仿宋" w:eastAsia="仿宋" w:hAnsi="仿宋" w:cs="仿宋" w:hint="eastAsia"/>
          <w:sz w:val="32"/>
          <w:szCs w:val="32"/>
        </w:rPr>
        <w:t xml:space="preserve"> </w:t>
      </w:r>
      <w:r>
        <w:rPr>
          <w:rFonts w:ascii="仿宋" w:eastAsia="仿宋" w:hAnsi="仿宋" w:cs="仿宋" w:hint="eastAsia"/>
          <w:sz w:val="32"/>
          <w:szCs w:val="32"/>
        </w:rPr>
        <w:t>标准化、精细化、常态化转变。</w:t>
      </w:r>
    </w:p>
    <w:p w:rsidR="001415A3" w:rsidRDefault="007D2755">
      <w:pPr>
        <w:spacing w:line="600" w:lineRule="exact"/>
        <w:ind w:firstLineChars="200" w:firstLine="643"/>
        <w:rPr>
          <w:rFonts w:ascii="仿宋_GB2312" w:eastAsia="仿宋_GB2312" w:hAnsiTheme="majorEastAsia"/>
          <w:sz w:val="32"/>
          <w:szCs w:val="32"/>
        </w:rPr>
      </w:pPr>
      <w:r>
        <w:rPr>
          <w:rFonts w:ascii="楷体_GB2312" w:eastAsia="楷体_GB2312" w:hAnsiTheme="majorEastAsia" w:hint="eastAsia"/>
          <w:b/>
          <w:sz w:val="32"/>
          <w:szCs w:val="32"/>
        </w:rPr>
        <w:t>3</w:t>
      </w:r>
      <w:r>
        <w:rPr>
          <w:rFonts w:ascii="楷体_GB2312" w:eastAsia="楷体_GB2312" w:hAnsiTheme="majorEastAsia" w:hint="eastAsia"/>
          <w:b/>
          <w:sz w:val="32"/>
          <w:szCs w:val="32"/>
        </w:rPr>
        <w:t>、</w:t>
      </w:r>
      <w:r>
        <w:rPr>
          <w:rFonts w:ascii="楷体_GB2312" w:eastAsia="楷体_GB2312" w:hAnsiTheme="majorEastAsia" w:hint="eastAsia"/>
          <w:b/>
          <w:sz w:val="32"/>
          <w:szCs w:val="32"/>
        </w:rPr>
        <w:t>拓展数字城管，创新服务模式。</w:t>
      </w:r>
      <w:r>
        <w:rPr>
          <w:rFonts w:ascii="仿宋" w:eastAsia="仿宋" w:hAnsi="仿宋" w:cs="仿宋" w:hint="eastAsia"/>
          <w:sz w:val="32"/>
          <w:szCs w:val="32"/>
        </w:rPr>
        <w:t>完善监管考核机制，形成一套发现及时、反应迅速、处置到位的运行机制，推动城市管理由简单粗放向科学、智能、精细、长效转变。加强巡查力度，提升案件办结率。完善建筑工地视频监控系统，完成市区所有工地的联网工作。</w:t>
      </w:r>
    </w:p>
    <w:p w:rsidR="001415A3" w:rsidRDefault="007D2755">
      <w:pPr>
        <w:spacing w:line="600" w:lineRule="exact"/>
        <w:ind w:firstLineChars="200" w:firstLine="643"/>
        <w:rPr>
          <w:rFonts w:ascii="仿宋" w:eastAsia="仿宋" w:hAnsi="仿宋" w:cs="仿宋"/>
          <w:sz w:val="32"/>
          <w:szCs w:val="32"/>
        </w:rPr>
      </w:pPr>
      <w:r>
        <w:rPr>
          <w:rFonts w:ascii="楷体_GB2312" w:eastAsia="楷体_GB2312" w:hAnsiTheme="majorEastAsia" w:hint="eastAsia"/>
          <w:b/>
          <w:sz w:val="32"/>
          <w:szCs w:val="32"/>
        </w:rPr>
        <w:t>4</w:t>
      </w:r>
      <w:r>
        <w:rPr>
          <w:rFonts w:ascii="楷体_GB2312" w:eastAsia="楷体_GB2312" w:hAnsiTheme="majorEastAsia" w:hint="eastAsia"/>
          <w:b/>
          <w:sz w:val="32"/>
          <w:szCs w:val="32"/>
        </w:rPr>
        <w:t>、</w:t>
      </w:r>
      <w:r>
        <w:rPr>
          <w:rFonts w:ascii="楷体_GB2312" w:eastAsia="楷体_GB2312" w:hAnsiTheme="majorEastAsia" w:hint="eastAsia"/>
          <w:b/>
          <w:sz w:val="32"/>
          <w:szCs w:val="32"/>
        </w:rPr>
        <w:t>强化规划执法，严控私搭乱建。</w:t>
      </w:r>
      <w:r>
        <w:rPr>
          <w:rFonts w:ascii="仿宋" w:eastAsia="仿宋" w:hAnsi="仿宋" w:cs="仿宋" w:hint="eastAsia"/>
          <w:sz w:val="32"/>
          <w:szCs w:val="32"/>
        </w:rPr>
        <w:t>一是继续保持高压态势，强化大型工地监管。与规划、建设、房管等相关部门协调联动，加大对大型房地产开发项目的监督管理，严厉打击超容积率、少报多建、侵占红线等违法行为。二是严控城乡结合部违建行为。加大对城乡结合部、城中村等区域违章建筑的</w:t>
      </w:r>
      <w:r>
        <w:rPr>
          <w:rFonts w:ascii="仿宋" w:eastAsia="仿宋" w:hAnsi="仿宋" w:cs="仿宋" w:hint="eastAsia"/>
          <w:sz w:val="32"/>
          <w:szCs w:val="32"/>
        </w:rPr>
        <w:lastRenderedPageBreak/>
        <w:t>查处和拆除力度，坚持“勤巡查、早发现、快制止、严处理”的工作方针，严控违法建设行为的滋生蔓延。三是积极探索乡镇规划执法管理工作新机制。建立和完善乡镇执法大队，积极协调配合各乡镇，建立起乡镇主管、村街监督、执法部门全程参与的立体网格式监管体系。确保规划管理不留天窗、不留空白。</w:t>
      </w:r>
    </w:p>
    <w:p w:rsidR="001415A3" w:rsidRDefault="007D2755">
      <w:pPr>
        <w:spacing w:line="600" w:lineRule="exact"/>
        <w:ind w:firstLineChars="200" w:firstLine="643"/>
        <w:rPr>
          <w:rFonts w:ascii="仿宋" w:eastAsia="仿宋" w:hAnsi="仿宋" w:cs="仿宋"/>
          <w:sz w:val="32"/>
          <w:szCs w:val="32"/>
        </w:rPr>
      </w:pPr>
      <w:r>
        <w:rPr>
          <w:rFonts w:ascii="楷体_GB2312" w:eastAsia="楷体_GB2312" w:hAnsiTheme="majorEastAsia" w:hint="eastAsia"/>
          <w:b/>
          <w:sz w:val="32"/>
          <w:szCs w:val="32"/>
        </w:rPr>
        <w:t>5</w:t>
      </w:r>
      <w:r>
        <w:rPr>
          <w:rFonts w:ascii="楷体_GB2312" w:eastAsia="楷体_GB2312" w:hAnsiTheme="majorEastAsia" w:hint="eastAsia"/>
          <w:b/>
          <w:sz w:val="32"/>
          <w:szCs w:val="32"/>
        </w:rPr>
        <w:t>、</w:t>
      </w:r>
      <w:r>
        <w:rPr>
          <w:rFonts w:ascii="楷体_GB2312" w:eastAsia="楷体_GB2312" w:hAnsiTheme="majorEastAsia" w:hint="eastAsia"/>
          <w:b/>
          <w:sz w:val="32"/>
          <w:szCs w:val="32"/>
        </w:rPr>
        <w:t>整</w:t>
      </w:r>
      <w:r>
        <w:rPr>
          <w:rFonts w:ascii="楷体_GB2312" w:eastAsia="楷体_GB2312" w:hAnsiTheme="majorEastAsia" w:hint="eastAsia"/>
          <w:b/>
          <w:sz w:val="32"/>
          <w:szCs w:val="32"/>
        </w:rPr>
        <w:t>合广告资源，靓化美化市容。</w:t>
      </w:r>
      <w:r>
        <w:rPr>
          <w:rFonts w:ascii="仿宋" w:eastAsia="仿宋" w:hAnsi="仿宋" w:cs="仿宋" w:hint="eastAsia"/>
          <w:sz w:val="32"/>
          <w:szCs w:val="32"/>
        </w:rPr>
        <w:t>一是规范大型广告设置。加强对建筑物楼顶、墙体、灯杆及铁道桥、高速桥桥体广告、大型电子显示屏的监督管理。二是抓好新建小区底商广告设置。三是开展小广告发布平台建设。对怀来信息岛建设进行改良，根据自身实际，在市区校园周边、大型社区、公共广场、公交站台等人流聚集区设置小广告发布信息岛，并对信息发布栏进行统一分栏设计，方便市民张贴合法便民广告信息。</w:t>
      </w:r>
    </w:p>
    <w:p w:rsidR="001415A3" w:rsidRDefault="007D2755">
      <w:pPr>
        <w:spacing w:line="600" w:lineRule="exact"/>
        <w:ind w:firstLineChars="200" w:firstLine="643"/>
        <w:rPr>
          <w:rFonts w:ascii="仿宋" w:eastAsia="仿宋" w:hAnsi="仿宋" w:cs="仿宋"/>
          <w:b/>
          <w:sz w:val="28"/>
        </w:rPr>
      </w:pPr>
      <w:r>
        <w:rPr>
          <w:rFonts w:ascii="楷体_GB2312" w:eastAsia="楷体_GB2312" w:hAnsiTheme="majorEastAsia" w:hint="eastAsia"/>
          <w:b/>
          <w:sz w:val="32"/>
          <w:szCs w:val="32"/>
        </w:rPr>
        <w:t>6</w:t>
      </w:r>
      <w:r>
        <w:rPr>
          <w:rFonts w:ascii="楷体_GB2312" w:eastAsia="楷体_GB2312" w:hAnsiTheme="majorEastAsia" w:hint="eastAsia"/>
          <w:b/>
          <w:sz w:val="32"/>
          <w:szCs w:val="32"/>
        </w:rPr>
        <w:t>、</w:t>
      </w:r>
      <w:r>
        <w:rPr>
          <w:rFonts w:ascii="楷体_GB2312" w:eastAsia="楷体_GB2312" w:hAnsiTheme="majorEastAsia" w:hint="eastAsia"/>
          <w:b/>
          <w:sz w:val="32"/>
          <w:szCs w:val="32"/>
        </w:rPr>
        <w:t>实施重点突破，改善东市区环境。</w:t>
      </w:r>
      <w:r>
        <w:rPr>
          <w:rFonts w:ascii="仿宋" w:eastAsia="仿宋" w:hAnsi="仿宋" w:cs="仿宋" w:hint="eastAsia"/>
          <w:sz w:val="32"/>
          <w:szCs w:val="32"/>
        </w:rPr>
        <w:t>持续加大对东市区的环境整治力度，在巩固精品示范线建设、环境治理攻坚战治理成果的基础上，重点治理占道经营、整顿广告牌匾、查处违章建筑、建设便民市场、打击非法营运三轮车等工作。</w:t>
      </w:r>
    </w:p>
    <w:p w:rsidR="001415A3" w:rsidRDefault="007D2755">
      <w:pPr>
        <w:spacing w:line="600" w:lineRule="exact"/>
        <w:ind w:firstLineChars="200" w:firstLine="643"/>
        <w:rPr>
          <w:rFonts w:ascii="楷体" w:eastAsia="楷体" w:hAnsi="楷体" w:cs="楷体"/>
          <w:b/>
          <w:sz w:val="32"/>
          <w:szCs w:val="32"/>
        </w:rPr>
      </w:pPr>
      <w:r>
        <w:rPr>
          <w:rFonts w:ascii="楷体" w:eastAsia="楷体" w:hAnsi="楷体" w:cs="楷体" w:hint="eastAsia"/>
          <w:b/>
          <w:sz w:val="32"/>
          <w:szCs w:val="32"/>
        </w:rPr>
        <w:t>部门职责及工作活动绩效目标指标：</w:t>
      </w:r>
    </w:p>
    <w:p w:rsidR="001415A3" w:rsidRDefault="007D2755">
      <w:pPr>
        <w:jc w:val="center"/>
        <w:outlineLvl w:val="0"/>
        <w:rPr>
          <w:rFonts w:ascii="方正仿宋_GBK" w:eastAsia="方正仿宋_GBK" w:hAnsiTheme="majorEastAsia"/>
          <w:sz w:val="32"/>
        </w:rPr>
      </w:pPr>
      <w:bookmarkStart w:id="1" w:name="_Toc476770359"/>
      <w:bookmarkEnd w:id="0"/>
      <w:r>
        <w:rPr>
          <w:rFonts w:ascii="方正仿宋_GBK" w:eastAsia="方正仿宋_GBK" w:hAnsiTheme="majorEastAsia" w:hint="eastAsia"/>
          <w:sz w:val="32"/>
        </w:rPr>
        <w:lastRenderedPageBreak/>
        <w:t>部门职责</w:t>
      </w:r>
      <w:r>
        <w:rPr>
          <w:rFonts w:ascii="方正仿宋_GBK" w:eastAsia="方正仿宋_GBK" w:hAnsiTheme="majorEastAsia" w:hint="eastAsia"/>
          <w:sz w:val="32"/>
        </w:rPr>
        <w:t>-</w:t>
      </w:r>
      <w:r>
        <w:rPr>
          <w:rFonts w:ascii="方正仿宋_GBK" w:eastAsia="方正仿宋_GBK" w:hAnsiTheme="majorEastAsia" w:hint="eastAsia"/>
          <w:sz w:val="32"/>
        </w:rPr>
        <w:t>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417"/>
        <w:gridCol w:w="737"/>
        <w:gridCol w:w="737"/>
        <w:gridCol w:w="737"/>
        <w:gridCol w:w="737"/>
      </w:tblGrid>
      <w:tr w:rsidR="001415A3">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1415A3" w:rsidRDefault="007D2755">
            <w:pPr>
              <w:spacing w:line="300" w:lineRule="exact"/>
              <w:jc w:val="left"/>
              <w:rPr>
                <w:rFonts w:ascii="方正仿宋_GBK" w:eastAsia="方正仿宋_GBK" w:hAnsiTheme="majorEastAsia"/>
                <w:sz w:val="24"/>
              </w:rPr>
            </w:pPr>
            <w:r>
              <w:rPr>
                <w:rFonts w:ascii="方正仿宋_GBK" w:eastAsia="方正仿宋_GBK" w:hAnsiTheme="majorEastAsia" w:hint="eastAsia"/>
                <w:sz w:val="24"/>
              </w:rPr>
              <w:t>814</w:t>
            </w:r>
            <w:r>
              <w:rPr>
                <w:rFonts w:ascii="方正仿宋_GBK" w:eastAsia="方正仿宋_GBK" w:hAnsiTheme="majorEastAsia" w:hint="eastAsia"/>
                <w:sz w:val="24"/>
              </w:rPr>
              <w:t>霸州市城市管理行政执法局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1415A3" w:rsidRDefault="007D2755">
            <w:pPr>
              <w:spacing w:line="300" w:lineRule="exact"/>
              <w:jc w:val="right"/>
              <w:rPr>
                <w:rFonts w:ascii="方正仿宋_GBK" w:eastAsia="方正仿宋_GBK" w:hAnsiTheme="majorEastAsia"/>
                <w:sz w:val="24"/>
              </w:rPr>
            </w:pPr>
            <w:r>
              <w:rPr>
                <w:rFonts w:ascii="方正仿宋_GBK" w:eastAsia="方正仿宋_GBK" w:hAnsiTheme="majorEastAsia" w:hint="eastAsia"/>
                <w:sz w:val="24"/>
              </w:rPr>
              <w:t>单位：万元</w:t>
            </w:r>
          </w:p>
        </w:tc>
      </w:tr>
      <w:tr w:rsidR="001415A3">
        <w:trPr>
          <w:trHeight w:val="227"/>
          <w:tblHeader/>
          <w:jc w:val="center"/>
        </w:trPr>
        <w:tc>
          <w:tcPr>
            <w:tcW w:w="2341" w:type="dxa"/>
            <w:vMerge w:val="restart"/>
            <w:shd w:val="clear" w:color="auto" w:fill="auto"/>
            <w:vAlign w:val="center"/>
          </w:tcPr>
          <w:p w:rsidR="001415A3" w:rsidRDefault="007D2755">
            <w:pPr>
              <w:spacing w:line="300" w:lineRule="exact"/>
              <w:jc w:val="center"/>
              <w:rPr>
                <w:rFonts w:ascii="方正仿宋_GBK" w:eastAsia="方正仿宋_GBK" w:hAnsiTheme="majorEastAsia"/>
                <w:b/>
              </w:rPr>
            </w:pPr>
            <w:r>
              <w:rPr>
                <w:rFonts w:ascii="方正仿宋_GBK" w:eastAsia="方正仿宋_GBK" w:hAnsiTheme="majorEastAsia" w:hint="eastAsia"/>
                <w:b/>
              </w:rPr>
              <w:t>职责活动</w:t>
            </w:r>
          </w:p>
        </w:tc>
        <w:tc>
          <w:tcPr>
            <w:tcW w:w="1276" w:type="dxa"/>
            <w:vMerge w:val="restart"/>
            <w:shd w:val="clear" w:color="auto" w:fill="auto"/>
            <w:vAlign w:val="center"/>
          </w:tcPr>
          <w:p w:rsidR="001415A3" w:rsidRDefault="007D2755">
            <w:pPr>
              <w:spacing w:line="300" w:lineRule="exact"/>
              <w:jc w:val="center"/>
              <w:rPr>
                <w:rFonts w:ascii="方正仿宋_GBK" w:eastAsia="方正仿宋_GBK" w:hAnsiTheme="majorEastAsia"/>
                <w:b/>
              </w:rPr>
            </w:pPr>
            <w:r>
              <w:rPr>
                <w:rFonts w:ascii="方正仿宋_GBK" w:eastAsia="方正仿宋_GBK" w:hAnsiTheme="majorEastAsia" w:hint="eastAsia"/>
                <w:b/>
              </w:rPr>
              <w:t>年度预算数</w:t>
            </w:r>
          </w:p>
        </w:tc>
        <w:tc>
          <w:tcPr>
            <w:tcW w:w="2976" w:type="dxa"/>
            <w:vMerge w:val="restart"/>
            <w:shd w:val="clear" w:color="auto" w:fill="auto"/>
            <w:vAlign w:val="center"/>
          </w:tcPr>
          <w:p w:rsidR="001415A3" w:rsidRDefault="007D2755">
            <w:pPr>
              <w:spacing w:line="300" w:lineRule="exact"/>
              <w:jc w:val="center"/>
              <w:rPr>
                <w:rFonts w:ascii="方正仿宋_GBK" w:eastAsia="方正仿宋_GBK" w:hAnsiTheme="majorEastAsia"/>
                <w:b/>
              </w:rPr>
            </w:pPr>
            <w:r>
              <w:rPr>
                <w:rFonts w:ascii="方正仿宋_GBK" w:eastAsia="方正仿宋_GBK" w:hAnsiTheme="majorEastAsia" w:hint="eastAsia"/>
                <w:b/>
              </w:rPr>
              <w:t>内容描述</w:t>
            </w:r>
          </w:p>
        </w:tc>
        <w:tc>
          <w:tcPr>
            <w:tcW w:w="2976" w:type="dxa"/>
            <w:vMerge w:val="restart"/>
            <w:shd w:val="clear" w:color="auto" w:fill="auto"/>
            <w:vAlign w:val="center"/>
          </w:tcPr>
          <w:p w:rsidR="001415A3" w:rsidRDefault="007D2755">
            <w:pPr>
              <w:spacing w:line="300" w:lineRule="exact"/>
              <w:jc w:val="center"/>
              <w:rPr>
                <w:rFonts w:ascii="方正仿宋_GBK" w:eastAsia="方正仿宋_GBK" w:hAnsiTheme="majorEastAsia"/>
                <w:b/>
              </w:rPr>
            </w:pPr>
            <w:r>
              <w:rPr>
                <w:rFonts w:ascii="方正仿宋_GBK" w:eastAsia="方正仿宋_GBK" w:hAnsiTheme="majorEastAsia" w:hint="eastAsia"/>
                <w:b/>
              </w:rPr>
              <w:t>绩效目标</w:t>
            </w:r>
          </w:p>
        </w:tc>
        <w:tc>
          <w:tcPr>
            <w:tcW w:w="1417" w:type="dxa"/>
            <w:vMerge w:val="restart"/>
            <w:shd w:val="clear" w:color="auto" w:fill="auto"/>
            <w:vAlign w:val="center"/>
          </w:tcPr>
          <w:p w:rsidR="001415A3" w:rsidRDefault="007D2755">
            <w:pPr>
              <w:spacing w:line="300" w:lineRule="exact"/>
              <w:jc w:val="center"/>
              <w:rPr>
                <w:rFonts w:ascii="方正仿宋_GBK" w:eastAsia="方正仿宋_GBK" w:hAnsiTheme="majorEastAsia"/>
                <w:b/>
              </w:rPr>
            </w:pPr>
            <w:r>
              <w:rPr>
                <w:rFonts w:ascii="方正仿宋_GBK" w:eastAsia="方正仿宋_GBK" w:hAnsiTheme="majorEastAsia" w:hint="eastAsia"/>
                <w:b/>
              </w:rPr>
              <w:t>绩效指标</w:t>
            </w:r>
          </w:p>
        </w:tc>
        <w:tc>
          <w:tcPr>
            <w:tcW w:w="2948" w:type="dxa"/>
            <w:gridSpan w:val="4"/>
            <w:shd w:val="clear" w:color="auto" w:fill="auto"/>
            <w:vAlign w:val="center"/>
          </w:tcPr>
          <w:p w:rsidR="001415A3" w:rsidRDefault="007D2755">
            <w:pPr>
              <w:spacing w:line="300" w:lineRule="exact"/>
              <w:jc w:val="center"/>
              <w:rPr>
                <w:rFonts w:ascii="方正仿宋_GBK" w:eastAsia="方正仿宋_GBK" w:hAnsiTheme="majorEastAsia"/>
                <w:b/>
              </w:rPr>
            </w:pPr>
            <w:r>
              <w:rPr>
                <w:rFonts w:ascii="方正仿宋_GBK" w:eastAsia="方正仿宋_GBK" w:hAnsiTheme="majorEastAsia" w:hint="eastAsia"/>
                <w:b/>
              </w:rPr>
              <w:t>评价标准</w:t>
            </w:r>
          </w:p>
        </w:tc>
      </w:tr>
      <w:tr w:rsidR="001415A3">
        <w:trPr>
          <w:trHeight w:val="227"/>
          <w:tblHeader/>
          <w:jc w:val="center"/>
        </w:trPr>
        <w:tc>
          <w:tcPr>
            <w:tcW w:w="2341" w:type="dxa"/>
            <w:vMerge/>
            <w:shd w:val="clear" w:color="auto" w:fill="auto"/>
            <w:vAlign w:val="center"/>
          </w:tcPr>
          <w:p w:rsidR="001415A3" w:rsidRDefault="001415A3">
            <w:pPr>
              <w:spacing w:line="300" w:lineRule="exact"/>
              <w:jc w:val="left"/>
              <w:outlineLvl w:val="0"/>
              <w:rPr>
                <w:rFonts w:ascii="方正仿宋_GBK" w:eastAsia="方正仿宋_GBK" w:hAnsiTheme="majorEastAsia"/>
              </w:rPr>
            </w:pPr>
          </w:p>
        </w:tc>
        <w:tc>
          <w:tcPr>
            <w:tcW w:w="1276" w:type="dxa"/>
            <w:vMerge/>
            <w:shd w:val="clear" w:color="auto" w:fill="auto"/>
            <w:vAlign w:val="center"/>
          </w:tcPr>
          <w:p w:rsidR="001415A3" w:rsidRDefault="001415A3">
            <w:pPr>
              <w:spacing w:line="300" w:lineRule="exact"/>
              <w:jc w:val="left"/>
              <w:outlineLvl w:val="0"/>
              <w:rPr>
                <w:rFonts w:ascii="方正仿宋_GBK" w:eastAsia="方正仿宋_GBK" w:hAnsiTheme="majorEastAsia"/>
              </w:rPr>
            </w:pPr>
          </w:p>
        </w:tc>
        <w:tc>
          <w:tcPr>
            <w:tcW w:w="2976" w:type="dxa"/>
            <w:vMerge/>
            <w:shd w:val="clear" w:color="auto" w:fill="auto"/>
            <w:vAlign w:val="center"/>
          </w:tcPr>
          <w:p w:rsidR="001415A3" w:rsidRDefault="001415A3">
            <w:pPr>
              <w:spacing w:line="300" w:lineRule="exact"/>
              <w:jc w:val="left"/>
              <w:outlineLvl w:val="0"/>
              <w:rPr>
                <w:rFonts w:ascii="方正仿宋_GBK" w:eastAsia="方正仿宋_GBK" w:hAnsiTheme="majorEastAsia"/>
              </w:rPr>
            </w:pPr>
          </w:p>
        </w:tc>
        <w:tc>
          <w:tcPr>
            <w:tcW w:w="2976" w:type="dxa"/>
            <w:vMerge/>
            <w:shd w:val="clear" w:color="auto" w:fill="auto"/>
            <w:vAlign w:val="center"/>
          </w:tcPr>
          <w:p w:rsidR="001415A3" w:rsidRDefault="001415A3">
            <w:pPr>
              <w:spacing w:line="300" w:lineRule="exact"/>
              <w:jc w:val="left"/>
              <w:outlineLvl w:val="0"/>
              <w:rPr>
                <w:rFonts w:ascii="方正仿宋_GBK" w:eastAsia="方正仿宋_GBK" w:hAnsiTheme="majorEastAsia"/>
              </w:rPr>
            </w:pPr>
          </w:p>
        </w:tc>
        <w:tc>
          <w:tcPr>
            <w:tcW w:w="1417" w:type="dxa"/>
            <w:vMerge/>
            <w:shd w:val="clear" w:color="auto" w:fill="auto"/>
            <w:vAlign w:val="center"/>
          </w:tcPr>
          <w:p w:rsidR="001415A3" w:rsidRDefault="001415A3">
            <w:pPr>
              <w:spacing w:line="300" w:lineRule="exact"/>
              <w:jc w:val="left"/>
              <w:outlineLvl w:val="0"/>
              <w:rPr>
                <w:rFonts w:ascii="方正仿宋_GBK" w:eastAsia="方正仿宋_GBK" w:hAnsiTheme="majorEastAsia"/>
              </w:rPr>
            </w:pPr>
          </w:p>
        </w:tc>
        <w:tc>
          <w:tcPr>
            <w:tcW w:w="737" w:type="dxa"/>
            <w:shd w:val="clear" w:color="auto" w:fill="auto"/>
            <w:vAlign w:val="center"/>
          </w:tcPr>
          <w:p w:rsidR="001415A3" w:rsidRDefault="007D2755">
            <w:pPr>
              <w:spacing w:line="300" w:lineRule="exact"/>
              <w:jc w:val="center"/>
              <w:rPr>
                <w:rFonts w:ascii="方正仿宋_GBK" w:eastAsia="方正仿宋_GBK" w:hAnsiTheme="majorEastAsia"/>
                <w:b/>
              </w:rPr>
            </w:pPr>
            <w:r>
              <w:rPr>
                <w:rFonts w:ascii="方正仿宋_GBK" w:eastAsia="方正仿宋_GBK" w:hAnsiTheme="majorEastAsia" w:hint="eastAsia"/>
                <w:b/>
              </w:rPr>
              <w:t>优</w:t>
            </w:r>
          </w:p>
        </w:tc>
        <w:tc>
          <w:tcPr>
            <w:tcW w:w="737" w:type="dxa"/>
            <w:shd w:val="clear" w:color="auto" w:fill="auto"/>
            <w:vAlign w:val="center"/>
          </w:tcPr>
          <w:p w:rsidR="001415A3" w:rsidRDefault="007D2755">
            <w:pPr>
              <w:spacing w:line="300" w:lineRule="exact"/>
              <w:jc w:val="center"/>
              <w:rPr>
                <w:rFonts w:ascii="方正仿宋_GBK" w:eastAsia="方正仿宋_GBK" w:hAnsiTheme="majorEastAsia"/>
                <w:b/>
              </w:rPr>
            </w:pPr>
            <w:r>
              <w:rPr>
                <w:rFonts w:ascii="方正仿宋_GBK" w:eastAsia="方正仿宋_GBK" w:hAnsiTheme="majorEastAsia" w:hint="eastAsia"/>
                <w:b/>
              </w:rPr>
              <w:t>良</w:t>
            </w:r>
          </w:p>
        </w:tc>
        <w:tc>
          <w:tcPr>
            <w:tcW w:w="737" w:type="dxa"/>
            <w:shd w:val="clear" w:color="auto" w:fill="auto"/>
            <w:vAlign w:val="center"/>
          </w:tcPr>
          <w:p w:rsidR="001415A3" w:rsidRDefault="007D2755">
            <w:pPr>
              <w:spacing w:line="300" w:lineRule="exact"/>
              <w:jc w:val="center"/>
              <w:rPr>
                <w:rFonts w:ascii="方正仿宋_GBK" w:eastAsia="方正仿宋_GBK" w:hAnsiTheme="majorEastAsia"/>
                <w:b/>
              </w:rPr>
            </w:pPr>
            <w:r>
              <w:rPr>
                <w:rFonts w:ascii="方正仿宋_GBK" w:eastAsia="方正仿宋_GBK" w:hAnsiTheme="majorEastAsia" w:hint="eastAsia"/>
                <w:b/>
              </w:rPr>
              <w:t>中</w:t>
            </w:r>
          </w:p>
        </w:tc>
        <w:tc>
          <w:tcPr>
            <w:tcW w:w="737" w:type="dxa"/>
            <w:shd w:val="clear" w:color="auto" w:fill="auto"/>
            <w:vAlign w:val="center"/>
          </w:tcPr>
          <w:p w:rsidR="001415A3" w:rsidRDefault="007D2755">
            <w:pPr>
              <w:spacing w:line="300" w:lineRule="exact"/>
              <w:jc w:val="center"/>
              <w:rPr>
                <w:rFonts w:ascii="方正仿宋_GBK" w:eastAsia="方正仿宋_GBK" w:hAnsiTheme="majorEastAsia"/>
                <w:b/>
              </w:rPr>
            </w:pPr>
            <w:r>
              <w:rPr>
                <w:rFonts w:ascii="方正仿宋_GBK" w:eastAsia="方正仿宋_GBK" w:hAnsiTheme="majorEastAsia" w:hint="eastAsia"/>
                <w:b/>
              </w:rPr>
              <w:t>差</w:t>
            </w:r>
          </w:p>
        </w:tc>
      </w:tr>
      <w:tr w:rsidR="001415A3">
        <w:trPr>
          <w:trHeight w:val="227"/>
          <w:jc w:val="center"/>
        </w:trPr>
        <w:tc>
          <w:tcPr>
            <w:tcW w:w="2341" w:type="dxa"/>
            <w:shd w:val="clear" w:color="auto" w:fill="auto"/>
            <w:vAlign w:val="center"/>
          </w:tcPr>
          <w:p w:rsidR="001415A3" w:rsidRDefault="007D2755">
            <w:pPr>
              <w:spacing w:line="300" w:lineRule="exact"/>
              <w:jc w:val="left"/>
              <w:rPr>
                <w:rFonts w:ascii="方正仿宋_GBK" w:eastAsia="方正仿宋_GBK" w:hAnsiTheme="majorEastAsia"/>
                <w:b/>
              </w:rPr>
            </w:pPr>
            <w:r>
              <w:rPr>
                <w:rFonts w:ascii="方正仿宋_GBK" w:eastAsia="方正仿宋_GBK" w:hAnsiTheme="majorEastAsia" w:hint="eastAsia"/>
                <w:b/>
              </w:rPr>
              <w:t>市容环境卫生方面执法管理</w:t>
            </w:r>
          </w:p>
        </w:tc>
        <w:tc>
          <w:tcPr>
            <w:tcW w:w="1276" w:type="dxa"/>
            <w:shd w:val="clear" w:color="auto" w:fill="auto"/>
            <w:vAlign w:val="center"/>
          </w:tcPr>
          <w:p w:rsidR="001415A3" w:rsidRDefault="007D2755">
            <w:pPr>
              <w:spacing w:line="300" w:lineRule="exact"/>
              <w:jc w:val="left"/>
              <w:rPr>
                <w:rFonts w:ascii="方正仿宋_GBK" w:eastAsia="方正仿宋_GBK" w:hAnsiTheme="majorEastAsia"/>
              </w:rPr>
            </w:pPr>
            <w:r>
              <w:rPr>
                <w:rFonts w:ascii="方正仿宋_GBK" w:eastAsia="方正仿宋_GBK" w:hAnsiTheme="majorEastAsia" w:hint="eastAsia"/>
              </w:rPr>
              <w:t>134.80</w:t>
            </w:r>
          </w:p>
        </w:tc>
        <w:tc>
          <w:tcPr>
            <w:tcW w:w="2976" w:type="dxa"/>
            <w:shd w:val="clear" w:color="auto" w:fill="auto"/>
            <w:vAlign w:val="center"/>
          </w:tcPr>
          <w:p w:rsidR="001415A3" w:rsidRDefault="007D2755">
            <w:pPr>
              <w:spacing w:line="300" w:lineRule="exact"/>
              <w:jc w:val="left"/>
              <w:rPr>
                <w:rFonts w:ascii="方正仿宋_GBK" w:eastAsia="方正仿宋_GBK" w:hAnsiTheme="majorEastAsia"/>
              </w:rPr>
            </w:pPr>
            <w:r>
              <w:rPr>
                <w:rFonts w:ascii="方正仿宋_GBK" w:eastAsia="方正仿宋_GBK" w:hAnsiTheme="majorEastAsia" w:hint="eastAsia"/>
              </w:rPr>
              <w:t>贯彻实施国家及本市有关城市管理方面的法律、法规及规章，治理和维护城市管理秩序。依法行使市容环卫、城乡规划、城市绿化、工商行政、市政设施、环境保护、交通运输等方面的全部或部分行政处罚权。</w:t>
            </w:r>
          </w:p>
        </w:tc>
        <w:tc>
          <w:tcPr>
            <w:tcW w:w="2976" w:type="dxa"/>
            <w:shd w:val="clear" w:color="auto" w:fill="auto"/>
            <w:vAlign w:val="center"/>
          </w:tcPr>
          <w:p w:rsidR="001415A3" w:rsidRDefault="007D2755">
            <w:pPr>
              <w:spacing w:line="300" w:lineRule="exact"/>
              <w:jc w:val="left"/>
              <w:rPr>
                <w:rFonts w:ascii="方正仿宋_GBK" w:eastAsia="方正仿宋_GBK" w:hAnsiTheme="majorEastAsia"/>
              </w:rPr>
            </w:pPr>
            <w:r>
              <w:rPr>
                <w:rFonts w:ascii="方正仿宋_GBK" w:eastAsia="方正仿宋_GBK" w:hAnsiTheme="majorEastAsia" w:hint="eastAsia"/>
              </w:rPr>
              <w:t>依法依规拟定全市城市管理规整制度并付诸实施；维护良好市容秩序，维护城市良好形象；提高市民城市意识和文明素质。</w:t>
            </w:r>
          </w:p>
        </w:tc>
        <w:tc>
          <w:tcPr>
            <w:tcW w:w="1417" w:type="dxa"/>
            <w:shd w:val="clear" w:color="auto" w:fill="auto"/>
            <w:vAlign w:val="center"/>
          </w:tcPr>
          <w:p w:rsidR="001415A3" w:rsidRDefault="001415A3">
            <w:pPr>
              <w:spacing w:line="300" w:lineRule="exact"/>
              <w:jc w:val="left"/>
              <w:rPr>
                <w:rFonts w:ascii="方正仿宋_GBK" w:eastAsia="方正仿宋_GBK" w:hAnsiTheme="majorEastAsia"/>
              </w:rPr>
            </w:pPr>
          </w:p>
        </w:tc>
        <w:tc>
          <w:tcPr>
            <w:tcW w:w="737" w:type="dxa"/>
            <w:shd w:val="clear" w:color="auto" w:fill="auto"/>
            <w:vAlign w:val="center"/>
          </w:tcPr>
          <w:p w:rsidR="001415A3" w:rsidRDefault="001415A3">
            <w:pPr>
              <w:spacing w:line="300" w:lineRule="exact"/>
              <w:jc w:val="center"/>
              <w:rPr>
                <w:rFonts w:ascii="方正仿宋_GBK" w:eastAsia="方正仿宋_GBK" w:hAnsiTheme="majorEastAsia"/>
              </w:rPr>
            </w:pPr>
          </w:p>
        </w:tc>
        <w:tc>
          <w:tcPr>
            <w:tcW w:w="737" w:type="dxa"/>
            <w:shd w:val="clear" w:color="auto" w:fill="auto"/>
            <w:vAlign w:val="center"/>
          </w:tcPr>
          <w:p w:rsidR="001415A3" w:rsidRDefault="001415A3">
            <w:pPr>
              <w:spacing w:line="300" w:lineRule="exact"/>
              <w:jc w:val="center"/>
              <w:rPr>
                <w:rFonts w:ascii="方正仿宋_GBK" w:eastAsia="方正仿宋_GBK" w:hAnsiTheme="majorEastAsia"/>
              </w:rPr>
            </w:pPr>
          </w:p>
        </w:tc>
        <w:tc>
          <w:tcPr>
            <w:tcW w:w="737" w:type="dxa"/>
            <w:shd w:val="clear" w:color="auto" w:fill="auto"/>
            <w:vAlign w:val="center"/>
          </w:tcPr>
          <w:p w:rsidR="001415A3" w:rsidRDefault="001415A3">
            <w:pPr>
              <w:spacing w:line="300" w:lineRule="exact"/>
              <w:jc w:val="center"/>
              <w:rPr>
                <w:rFonts w:ascii="方正仿宋_GBK" w:eastAsia="方正仿宋_GBK" w:hAnsiTheme="majorEastAsia"/>
              </w:rPr>
            </w:pPr>
          </w:p>
        </w:tc>
        <w:tc>
          <w:tcPr>
            <w:tcW w:w="737" w:type="dxa"/>
            <w:shd w:val="clear" w:color="auto" w:fill="auto"/>
            <w:vAlign w:val="center"/>
          </w:tcPr>
          <w:p w:rsidR="001415A3" w:rsidRDefault="001415A3">
            <w:pPr>
              <w:spacing w:line="300" w:lineRule="exact"/>
              <w:jc w:val="center"/>
              <w:rPr>
                <w:rFonts w:ascii="方正仿宋_GBK" w:eastAsia="方正仿宋_GBK" w:hAnsiTheme="majorEastAsia"/>
              </w:rPr>
            </w:pPr>
          </w:p>
        </w:tc>
      </w:tr>
      <w:tr w:rsidR="001415A3">
        <w:trPr>
          <w:trHeight w:val="227"/>
          <w:jc w:val="center"/>
        </w:trPr>
        <w:tc>
          <w:tcPr>
            <w:tcW w:w="2341" w:type="dxa"/>
            <w:shd w:val="clear" w:color="auto" w:fill="auto"/>
            <w:vAlign w:val="center"/>
          </w:tcPr>
          <w:p w:rsidR="001415A3" w:rsidRDefault="007D2755">
            <w:pPr>
              <w:spacing w:line="300" w:lineRule="exact"/>
              <w:jc w:val="left"/>
              <w:rPr>
                <w:rFonts w:ascii="方正仿宋_GBK" w:eastAsia="方正仿宋_GBK" w:hAnsiTheme="majorEastAsia"/>
                <w:b/>
              </w:rPr>
            </w:pPr>
            <w:r>
              <w:rPr>
                <w:rFonts w:ascii="方正仿宋_GBK" w:eastAsia="方正仿宋_GBK" w:hAnsiTheme="majorEastAsia" w:hint="eastAsia"/>
                <w:b/>
              </w:rPr>
              <w:t xml:space="preserve">　　流动摊点、临时市场日常监督</w:t>
            </w:r>
          </w:p>
        </w:tc>
        <w:tc>
          <w:tcPr>
            <w:tcW w:w="1276" w:type="dxa"/>
            <w:shd w:val="clear" w:color="auto" w:fill="auto"/>
            <w:vAlign w:val="center"/>
          </w:tcPr>
          <w:p w:rsidR="001415A3" w:rsidRDefault="007D2755">
            <w:pPr>
              <w:spacing w:line="300" w:lineRule="exact"/>
              <w:jc w:val="left"/>
              <w:rPr>
                <w:rFonts w:ascii="方正仿宋_GBK" w:eastAsia="方正仿宋_GBK" w:hAnsiTheme="majorEastAsia"/>
              </w:rPr>
            </w:pPr>
            <w:r>
              <w:rPr>
                <w:rFonts w:ascii="方正仿宋_GBK" w:eastAsia="方正仿宋_GBK" w:hAnsiTheme="majorEastAsia" w:hint="eastAsia"/>
              </w:rPr>
              <w:t>10.80</w:t>
            </w:r>
          </w:p>
        </w:tc>
        <w:tc>
          <w:tcPr>
            <w:tcW w:w="2976" w:type="dxa"/>
            <w:shd w:val="clear" w:color="auto" w:fill="auto"/>
            <w:vAlign w:val="center"/>
          </w:tcPr>
          <w:p w:rsidR="001415A3" w:rsidRDefault="007D2755">
            <w:pPr>
              <w:spacing w:line="300" w:lineRule="exact"/>
              <w:jc w:val="left"/>
              <w:rPr>
                <w:rFonts w:ascii="方正仿宋_GBK" w:eastAsia="方正仿宋_GBK" w:hAnsiTheme="majorEastAsia"/>
              </w:rPr>
            </w:pPr>
            <w:r>
              <w:rPr>
                <w:rFonts w:ascii="方正仿宋_GBK" w:eastAsia="方正仿宋_GBK" w:hAnsiTheme="majorEastAsia" w:hint="eastAsia"/>
              </w:rPr>
              <w:t>科学制定道路管理等级标准，采取疏堵结合原则，严格对流动摊点和临时市场监管，严禁出现非法聚集占道，堵塞交通现象发生。</w:t>
            </w:r>
          </w:p>
        </w:tc>
        <w:tc>
          <w:tcPr>
            <w:tcW w:w="2976" w:type="dxa"/>
            <w:shd w:val="clear" w:color="auto" w:fill="auto"/>
            <w:vAlign w:val="center"/>
          </w:tcPr>
          <w:p w:rsidR="001415A3" w:rsidRDefault="007D2755">
            <w:pPr>
              <w:spacing w:line="300" w:lineRule="exact"/>
              <w:jc w:val="left"/>
              <w:rPr>
                <w:rFonts w:ascii="方正仿宋_GBK" w:eastAsia="方正仿宋_GBK" w:hAnsiTheme="majorEastAsia"/>
              </w:rPr>
            </w:pPr>
            <w:r>
              <w:rPr>
                <w:rFonts w:ascii="方正仿宋_GBK" w:eastAsia="方正仿宋_GBK" w:hAnsiTheme="majorEastAsia" w:hint="eastAsia"/>
              </w:rPr>
              <w:t>加大治理和宣传力度，做到早发现、早治理，做到既方便群众生活，又不扰民和影响交通。禁止出现占道摊群、占道早市和夜市现象。</w:t>
            </w:r>
          </w:p>
        </w:tc>
        <w:tc>
          <w:tcPr>
            <w:tcW w:w="1417" w:type="dxa"/>
            <w:shd w:val="clear" w:color="auto" w:fill="auto"/>
            <w:vAlign w:val="center"/>
          </w:tcPr>
          <w:p w:rsidR="001415A3" w:rsidRDefault="007D2755">
            <w:pPr>
              <w:spacing w:line="300" w:lineRule="exact"/>
              <w:jc w:val="left"/>
              <w:rPr>
                <w:rFonts w:ascii="方正仿宋_GBK" w:eastAsia="方正仿宋_GBK" w:hAnsiTheme="majorEastAsia"/>
              </w:rPr>
            </w:pPr>
            <w:r>
              <w:rPr>
                <w:rFonts w:ascii="方正仿宋_GBK" w:eastAsia="方正仿宋_GBK" w:hAnsiTheme="majorEastAsia" w:hint="eastAsia"/>
              </w:rPr>
              <w:t>专项检查次数和违法处理情况</w:t>
            </w:r>
          </w:p>
        </w:tc>
        <w:tc>
          <w:tcPr>
            <w:tcW w:w="737" w:type="dxa"/>
            <w:shd w:val="clear" w:color="auto" w:fill="auto"/>
            <w:vAlign w:val="center"/>
          </w:tcPr>
          <w:p w:rsidR="001415A3" w:rsidRDefault="007D2755">
            <w:pPr>
              <w:spacing w:line="300" w:lineRule="exact"/>
              <w:jc w:val="center"/>
              <w:rPr>
                <w:rFonts w:ascii="方正仿宋_GBK" w:eastAsia="方正仿宋_GBK" w:hAnsiTheme="majorEastAsia"/>
              </w:rPr>
            </w:pPr>
            <w:r>
              <w:rPr>
                <w:rFonts w:ascii="方正仿宋_GBK" w:eastAsia="方正仿宋_GBK" w:hAnsiTheme="majorEastAsia" w:hint="eastAsia"/>
              </w:rPr>
              <w:t>35</w:t>
            </w:r>
          </w:p>
        </w:tc>
        <w:tc>
          <w:tcPr>
            <w:tcW w:w="737" w:type="dxa"/>
            <w:shd w:val="clear" w:color="auto" w:fill="auto"/>
            <w:vAlign w:val="center"/>
          </w:tcPr>
          <w:p w:rsidR="001415A3" w:rsidRDefault="007D2755">
            <w:pPr>
              <w:spacing w:line="300" w:lineRule="exact"/>
              <w:jc w:val="center"/>
              <w:rPr>
                <w:rFonts w:ascii="方正仿宋_GBK" w:eastAsia="方正仿宋_GBK" w:hAnsiTheme="majorEastAsia"/>
              </w:rPr>
            </w:pPr>
            <w:r>
              <w:rPr>
                <w:rFonts w:ascii="方正仿宋_GBK" w:eastAsia="方正仿宋_GBK" w:hAnsiTheme="majorEastAsia" w:hint="eastAsia"/>
              </w:rPr>
              <w:t>30</w:t>
            </w:r>
          </w:p>
        </w:tc>
        <w:tc>
          <w:tcPr>
            <w:tcW w:w="737" w:type="dxa"/>
            <w:shd w:val="clear" w:color="auto" w:fill="auto"/>
            <w:vAlign w:val="center"/>
          </w:tcPr>
          <w:p w:rsidR="001415A3" w:rsidRDefault="007D2755">
            <w:pPr>
              <w:spacing w:line="300" w:lineRule="exact"/>
              <w:jc w:val="center"/>
              <w:rPr>
                <w:rFonts w:ascii="方正仿宋_GBK" w:eastAsia="方正仿宋_GBK" w:hAnsiTheme="majorEastAsia"/>
              </w:rPr>
            </w:pPr>
            <w:r>
              <w:rPr>
                <w:rFonts w:ascii="方正仿宋_GBK" w:eastAsia="方正仿宋_GBK" w:hAnsiTheme="majorEastAsia" w:hint="eastAsia"/>
              </w:rPr>
              <w:t>25</w:t>
            </w:r>
          </w:p>
        </w:tc>
        <w:tc>
          <w:tcPr>
            <w:tcW w:w="737" w:type="dxa"/>
            <w:shd w:val="clear" w:color="auto" w:fill="auto"/>
            <w:vAlign w:val="center"/>
          </w:tcPr>
          <w:p w:rsidR="001415A3" w:rsidRDefault="007D2755">
            <w:pPr>
              <w:spacing w:line="300" w:lineRule="exact"/>
              <w:jc w:val="center"/>
              <w:rPr>
                <w:rFonts w:ascii="方正仿宋_GBK" w:eastAsia="方正仿宋_GBK" w:hAnsiTheme="majorEastAsia"/>
              </w:rPr>
            </w:pPr>
            <w:r>
              <w:rPr>
                <w:rFonts w:ascii="方正仿宋_GBK" w:eastAsia="方正仿宋_GBK" w:hAnsiTheme="majorEastAsia" w:hint="eastAsia"/>
              </w:rPr>
              <w:t>≤</w:t>
            </w:r>
            <w:r>
              <w:rPr>
                <w:rFonts w:ascii="方正仿宋_GBK" w:eastAsia="方正仿宋_GBK" w:hAnsiTheme="majorEastAsia" w:hint="eastAsia"/>
              </w:rPr>
              <w:t>20</w:t>
            </w:r>
          </w:p>
        </w:tc>
      </w:tr>
      <w:tr w:rsidR="001415A3">
        <w:trPr>
          <w:trHeight w:val="227"/>
          <w:jc w:val="center"/>
        </w:trPr>
        <w:tc>
          <w:tcPr>
            <w:tcW w:w="2341" w:type="dxa"/>
            <w:shd w:val="clear" w:color="auto" w:fill="auto"/>
            <w:vAlign w:val="center"/>
          </w:tcPr>
          <w:p w:rsidR="001415A3" w:rsidRDefault="007D2755">
            <w:pPr>
              <w:spacing w:line="300" w:lineRule="exact"/>
              <w:jc w:val="left"/>
              <w:rPr>
                <w:rFonts w:ascii="方正仿宋_GBK" w:eastAsia="方正仿宋_GBK" w:hAnsiTheme="majorEastAsia"/>
                <w:b/>
              </w:rPr>
            </w:pPr>
            <w:r>
              <w:rPr>
                <w:rFonts w:ascii="方正仿宋_GBK" w:eastAsia="方正仿宋_GBK" w:hAnsiTheme="majorEastAsia" w:hint="eastAsia"/>
                <w:b/>
              </w:rPr>
              <w:t xml:space="preserve">　　综合事务管理</w:t>
            </w:r>
          </w:p>
        </w:tc>
        <w:tc>
          <w:tcPr>
            <w:tcW w:w="1276" w:type="dxa"/>
            <w:shd w:val="clear" w:color="auto" w:fill="auto"/>
            <w:vAlign w:val="center"/>
          </w:tcPr>
          <w:p w:rsidR="001415A3" w:rsidRDefault="007D2755">
            <w:pPr>
              <w:spacing w:line="300" w:lineRule="exact"/>
              <w:jc w:val="left"/>
              <w:rPr>
                <w:rFonts w:ascii="方正仿宋_GBK" w:eastAsia="方正仿宋_GBK" w:hAnsiTheme="majorEastAsia"/>
              </w:rPr>
            </w:pPr>
            <w:r>
              <w:rPr>
                <w:rFonts w:ascii="方正仿宋_GBK" w:eastAsia="方正仿宋_GBK" w:hAnsiTheme="majorEastAsia" w:hint="eastAsia"/>
              </w:rPr>
              <w:t>100.00</w:t>
            </w:r>
          </w:p>
        </w:tc>
        <w:tc>
          <w:tcPr>
            <w:tcW w:w="2976" w:type="dxa"/>
            <w:shd w:val="clear" w:color="auto" w:fill="auto"/>
            <w:vAlign w:val="center"/>
          </w:tcPr>
          <w:p w:rsidR="001415A3" w:rsidRDefault="007D2755">
            <w:pPr>
              <w:spacing w:line="300" w:lineRule="exact"/>
              <w:jc w:val="left"/>
              <w:rPr>
                <w:rFonts w:ascii="方正仿宋_GBK" w:eastAsia="方正仿宋_GBK" w:hAnsiTheme="majorEastAsia"/>
              </w:rPr>
            </w:pPr>
            <w:r>
              <w:rPr>
                <w:rFonts w:ascii="方正仿宋_GBK" w:eastAsia="方正仿宋_GBK" w:hAnsiTheme="majorEastAsia" w:hint="eastAsia"/>
              </w:rPr>
              <w:t>综合执法工作运转保障，包括会议组织、政务督办、档案管理、信访接待、政务信息、行政复议、对外宣传、干部培训、调研活动等行政事务；开展政府信息公开、行政许可事项受理、信息化建设、机关财务和资产管理、基建及维修等管理</w:t>
            </w:r>
          </w:p>
        </w:tc>
        <w:tc>
          <w:tcPr>
            <w:tcW w:w="2976" w:type="dxa"/>
            <w:shd w:val="clear" w:color="auto" w:fill="auto"/>
            <w:vAlign w:val="center"/>
          </w:tcPr>
          <w:p w:rsidR="001415A3" w:rsidRDefault="007D2755">
            <w:pPr>
              <w:spacing w:line="300" w:lineRule="exact"/>
              <w:jc w:val="left"/>
              <w:rPr>
                <w:rFonts w:ascii="方正仿宋_GBK" w:eastAsia="方正仿宋_GBK" w:hAnsiTheme="majorEastAsia"/>
              </w:rPr>
            </w:pPr>
            <w:r>
              <w:rPr>
                <w:rFonts w:ascii="方正仿宋_GBK" w:eastAsia="方正仿宋_GBK" w:hAnsiTheme="majorEastAsia" w:hint="eastAsia"/>
              </w:rPr>
              <w:t>保障机关工作正常工作高效运转</w:t>
            </w:r>
          </w:p>
        </w:tc>
        <w:tc>
          <w:tcPr>
            <w:tcW w:w="1417" w:type="dxa"/>
            <w:shd w:val="clear" w:color="auto" w:fill="auto"/>
            <w:vAlign w:val="center"/>
          </w:tcPr>
          <w:p w:rsidR="001415A3" w:rsidRDefault="007D2755">
            <w:pPr>
              <w:spacing w:line="300" w:lineRule="exact"/>
              <w:jc w:val="left"/>
              <w:rPr>
                <w:rFonts w:ascii="方正仿宋_GBK" w:eastAsia="方正仿宋_GBK" w:hAnsiTheme="majorEastAsia"/>
              </w:rPr>
            </w:pPr>
            <w:r>
              <w:rPr>
                <w:rFonts w:ascii="方正仿宋_GBK" w:eastAsia="方正仿宋_GBK" w:hAnsiTheme="majorEastAsia" w:hint="eastAsia"/>
              </w:rPr>
              <w:t>综合事务保障率</w:t>
            </w:r>
          </w:p>
        </w:tc>
        <w:tc>
          <w:tcPr>
            <w:tcW w:w="737" w:type="dxa"/>
            <w:shd w:val="clear" w:color="auto" w:fill="auto"/>
            <w:vAlign w:val="center"/>
          </w:tcPr>
          <w:p w:rsidR="001415A3" w:rsidRDefault="007D2755">
            <w:pPr>
              <w:spacing w:line="300" w:lineRule="exact"/>
              <w:jc w:val="center"/>
              <w:rPr>
                <w:rFonts w:ascii="方正仿宋_GBK" w:eastAsia="方正仿宋_GBK" w:hAnsiTheme="majorEastAsia"/>
              </w:rPr>
            </w:pPr>
            <w:r>
              <w:rPr>
                <w:rFonts w:ascii="方正仿宋_GBK" w:eastAsia="方正仿宋_GBK" w:hAnsiTheme="majorEastAsia" w:hint="eastAsia"/>
              </w:rPr>
              <w:t>90%</w:t>
            </w:r>
          </w:p>
        </w:tc>
        <w:tc>
          <w:tcPr>
            <w:tcW w:w="737" w:type="dxa"/>
            <w:shd w:val="clear" w:color="auto" w:fill="auto"/>
            <w:vAlign w:val="center"/>
          </w:tcPr>
          <w:p w:rsidR="001415A3" w:rsidRDefault="007D2755">
            <w:pPr>
              <w:spacing w:line="300" w:lineRule="exact"/>
              <w:jc w:val="center"/>
              <w:rPr>
                <w:rFonts w:ascii="方正仿宋_GBK" w:eastAsia="方正仿宋_GBK" w:hAnsiTheme="majorEastAsia"/>
              </w:rPr>
            </w:pPr>
            <w:r>
              <w:rPr>
                <w:rFonts w:ascii="方正仿宋_GBK" w:eastAsia="方正仿宋_GBK" w:hAnsiTheme="majorEastAsia" w:hint="eastAsia"/>
              </w:rPr>
              <w:t>80%</w:t>
            </w:r>
          </w:p>
        </w:tc>
        <w:tc>
          <w:tcPr>
            <w:tcW w:w="737" w:type="dxa"/>
            <w:shd w:val="clear" w:color="auto" w:fill="auto"/>
            <w:vAlign w:val="center"/>
          </w:tcPr>
          <w:p w:rsidR="001415A3" w:rsidRDefault="007D2755">
            <w:pPr>
              <w:spacing w:line="300" w:lineRule="exact"/>
              <w:jc w:val="center"/>
              <w:rPr>
                <w:rFonts w:ascii="方正仿宋_GBK" w:eastAsia="方正仿宋_GBK" w:hAnsiTheme="majorEastAsia"/>
              </w:rPr>
            </w:pPr>
            <w:r>
              <w:rPr>
                <w:rFonts w:ascii="方正仿宋_GBK" w:eastAsia="方正仿宋_GBK" w:hAnsiTheme="majorEastAsia" w:hint="eastAsia"/>
              </w:rPr>
              <w:t>70%</w:t>
            </w:r>
          </w:p>
        </w:tc>
        <w:tc>
          <w:tcPr>
            <w:tcW w:w="737" w:type="dxa"/>
            <w:shd w:val="clear" w:color="auto" w:fill="auto"/>
            <w:vAlign w:val="center"/>
          </w:tcPr>
          <w:p w:rsidR="001415A3" w:rsidRDefault="007D2755">
            <w:pPr>
              <w:spacing w:line="300" w:lineRule="exact"/>
              <w:jc w:val="center"/>
              <w:rPr>
                <w:rFonts w:ascii="方正仿宋_GBK" w:eastAsia="方正仿宋_GBK" w:hAnsiTheme="majorEastAsia"/>
              </w:rPr>
            </w:pPr>
            <w:r>
              <w:rPr>
                <w:rFonts w:ascii="方正仿宋_GBK" w:eastAsia="方正仿宋_GBK" w:hAnsiTheme="majorEastAsia" w:hint="eastAsia"/>
              </w:rPr>
              <w:t>≤</w:t>
            </w:r>
            <w:r>
              <w:rPr>
                <w:rFonts w:ascii="方正仿宋_GBK" w:eastAsia="方正仿宋_GBK" w:hAnsiTheme="majorEastAsia" w:hint="eastAsia"/>
              </w:rPr>
              <w:t>60%</w:t>
            </w:r>
          </w:p>
        </w:tc>
      </w:tr>
      <w:tr w:rsidR="001415A3">
        <w:trPr>
          <w:trHeight w:val="227"/>
          <w:jc w:val="center"/>
        </w:trPr>
        <w:tc>
          <w:tcPr>
            <w:tcW w:w="2341" w:type="dxa"/>
            <w:shd w:val="clear" w:color="auto" w:fill="auto"/>
            <w:vAlign w:val="center"/>
          </w:tcPr>
          <w:p w:rsidR="001415A3" w:rsidRDefault="007D2755">
            <w:pPr>
              <w:spacing w:line="300" w:lineRule="exact"/>
              <w:jc w:val="left"/>
              <w:rPr>
                <w:rFonts w:ascii="方正仿宋_GBK" w:eastAsia="方正仿宋_GBK" w:hAnsiTheme="majorEastAsia"/>
                <w:b/>
              </w:rPr>
            </w:pPr>
            <w:r>
              <w:rPr>
                <w:rFonts w:ascii="方正仿宋_GBK" w:eastAsia="方正仿宋_GBK" w:hAnsiTheme="majorEastAsia" w:hint="eastAsia"/>
                <w:b/>
              </w:rPr>
              <w:t xml:space="preserve">　　数字城管日常运行及维护</w:t>
            </w:r>
          </w:p>
        </w:tc>
        <w:tc>
          <w:tcPr>
            <w:tcW w:w="1276" w:type="dxa"/>
            <w:shd w:val="clear" w:color="auto" w:fill="auto"/>
            <w:vAlign w:val="center"/>
          </w:tcPr>
          <w:p w:rsidR="001415A3" w:rsidRDefault="007D2755">
            <w:pPr>
              <w:spacing w:line="300" w:lineRule="exact"/>
              <w:jc w:val="left"/>
              <w:rPr>
                <w:rFonts w:ascii="方正仿宋_GBK" w:eastAsia="方正仿宋_GBK" w:hAnsiTheme="majorEastAsia"/>
              </w:rPr>
            </w:pPr>
            <w:r>
              <w:rPr>
                <w:rFonts w:ascii="方正仿宋_GBK" w:eastAsia="方正仿宋_GBK" w:hAnsiTheme="majorEastAsia" w:hint="eastAsia"/>
              </w:rPr>
              <w:t>24.00</w:t>
            </w:r>
          </w:p>
        </w:tc>
        <w:tc>
          <w:tcPr>
            <w:tcW w:w="2976" w:type="dxa"/>
            <w:shd w:val="clear" w:color="auto" w:fill="auto"/>
            <w:vAlign w:val="center"/>
          </w:tcPr>
          <w:p w:rsidR="001415A3" w:rsidRDefault="007D2755">
            <w:pPr>
              <w:spacing w:line="300" w:lineRule="exact"/>
              <w:jc w:val="left"/>
              <w:rPr>
                <w:rFonts w:ascii="方正仿宋_GBK" w:eastAsia="方正仿宋_GBK" w:hAnsiTheme="majorEastAsia"/>
              </w:rPr>
            </w:pPr>
            <w:r>
              <w:rPr>
                <w:rFonts w:ascii="方正仿宋_GBK" w:eastAsia="方正仿宋_GBK" w:hAnsiTheme="majorEastAsia" w:hint="eastAsia"/>
              </w:rPr>
              <w:t>搭建全局性的信息共享平台，实现实时定位、指挥、督查及</w:t>
            </w:r>
            <w:r>
              <w:rPr>
                <w:rFonts w:ascii="方正仿宋_GBK" w:eastAsia="方正仿宋_GBK" w:hAnsiTheme="majorEastAsia" w:hint="eastAsia"/>
              </w:rPr>
              <w:lastRenderedPageBreak/>
              <w:t>信息反馈。</w:t>
            </w:r>
          </w:p>
        </w:tc>
        <w:tc>
          <w:tcPr>
            <w:tcW w:w="2976" w:type="dxa"/>
            <w:shd w:val="clear" w:color="auto" w:fill="auto"/>
            <w:vAlign w:val="center"/>
          </w:tcPr>
          <w:p w:rsidR="001415A3" w:rsidRDefault="007D2755">
            <w:pPr>
              <w:spacing w:line="300" w:lineRule="exact"/>
              <w:jc w:val="left"/>
              <w:rPr>
                <w:rFonts w:ascii="方正仿宋_GBK" w:eastAsia="方正仿宋_GBK" w:hAnsiTheme="majorEastAsia"/>
              </w:rPr>
            </w:pPr>
            <w:r>
              <w:rPr>
                <w:rFonts w:ascii="方正仿宋_GBK" w:eastAsia="方正仿宋_GBK" w:hAnsiTheme="majorEastAsia" w:hint="eastAsia"/>
              </w:rPr>
              <w:lastRenderedPageBreak/>
              <w:t>确保数字城管中心正常运行，有效提高工作效率</w:t>
            </w:r>
          </w:p>
        </w:tc>
        <w:tc>
          <w:tcPr>
            <w:tcW w:w="1417" w:type="dxa"/>
            <w:shd w:val="clear" w:color="auto" w:fill="auto"/>
            <w:vAlign w:val="center"/>
          </w:tcPr>
          <w:p w:rsidR="001415A3" w:rsidRDefault="007D2755">
            <w:pPr>
              <w:spacing w:line="300" w:lineRule="exact"/>
              <w:jc w:val="left"/>
              <w:rPr>
                <w:rFonts w:ascii="方正仿宋_GBK" w:eastAsia="方正仿宋_GBK" w:hAnsiTheme="majorEastAsia"/>
              </w:rPr>
            </w:pPr>
            <w:r>
              <w:rPr>
                <w:rFonts w:ascii="方正仿宋_GBK" w:eastAsia="方正仿宋_GBK" w:hAnsiTheme="majorEastAsia" w:hint="eastAsia"/>
              </w:rPr>
              <w:t>案件结案率、处置率</w:t>
            </w:r>
          </w:p>
        </w:tc>
        <w:tc>
          <w:tcPr>
            <w:tcW w:w="737" w:type="dxa"/>
            <w:shd w:val="clear" w:color="auto" w:fill="auto"/>
            <w:vAlign w:val="center"/>
          </w:tcPr>
          <w:p w:rsidR="001415A3" w:rsidRDefault="007D2755">
            <w:pPr>
              <w:spacing w:line="300" w:lineRule="exact"/>
              <w:jc w:val="center"/>
              <w:rPr>
                <w:rFonts w:ascii="方正仿宋_GBK" w:eastAsia="方正仿宋_GBK" w:hAnsiTheme="majorEastAsia"/>
              </w:rPr>
            </w:pPr>
            <w:r>
              <w:rPr>
                <w:rFonts w:ascii="方正仿宋_GBK" w:eastAsia="方正仿宋_GBK" w:hAnsiTheme="majorEastAsia" w:hint="eastAsia"/>
              </w:rPr>
              <w:t>90%</w:t>
            </w:r>
          </w:p>
        </w:tc>
        <w:tc>
          <w:tcPr>
            <w:tcW w:w="737" w:type="dxa"/>
            <w:shd w:val="clear" w:color="auto" w:fill="auto"/>
            <w:vAlign w:val="center"/>
          </w:tcPr>
          <w:p w:rsidR="001415A3" w:rsidRDefault="007D2755">
            <w:pPr>
              <w:spacing w:line="300" w:lineRule="exact"/>
              <w:jc w:val="center"/>
              <w:rPr>
                <w:rFonts w:ascii="方正仿宋_GBK" w:eastAsia="方正仿宋_GBK" w:hAnsiTheme="majorEastAsia"/>
              </w:rPr>
            </w:pPr>
            <w:r>
              <w:rPr>
                <w:rFonts w:ascii="方正仿宋_GBK" w:eastAsia="方正仿宋_GBK" w:hAnsiTheme="majorEastAsia" w:hint="eastAsia"/>
              </w:rPr>
              <w:t>80%</w:t>
            </w:r>
          </w:p>
        </w:tc>
        <w:tc>
          <w:tcPr>
            <w:tcW w:w="737" w:type="dxa"/>
            <w:shd w:val="clear" w:color="auto" w:fill="auto"/>
            <w:vAlign w:val="center"/>
          </w:tcPr>
          <w:p w:rsidR="001415A3" w:rsidRDefault="007D2755">
            <w:pPr>
              <w:spacing w:line="300" w:lineRule="exact"/>
              <w:jc w:val="center"/>
              <w:rPr>
                <w:rFonts w:ascii="方正仿宋_GBK" w:eastAsia="方正仿宋_GBK" w:hAnsiTheme="majorEastAsia"/>
              </w:rPr>
            </w:pPr>
            <w:r>
              <w:rPr>
                <w:rFonts w:ascii="方正仿宋_GBK" w:eastAsia="方正仿宋_GBK" w:hAnsiTheme="majorEastAsia" w:hint="eastAsia"/>
              </w:rPr>
              <w:t>70%</w:t>
            </w:r>
          </w:p>
        </w:tc>
        <w:tc>
          <w:tcPr>
            <w:tcW w:w="737" w:type="dxa"/>
            <w:shd w:val="clear" w:color="auto" w:fill="auto"/>
            <w:vAlign w:val="center"/>
          </w:tcPr>
          <w:p w:rsidR="001415A3" w:rsidRDefault="007D2755">
            <w:pPr>
              <w:spacing w:line="300" w:lineRule="exact"/>
              <w:jc w:val="center"/>
              <w:rPr>
                <w:rFonts w:ascii="方正仿宋_GBK" w:eastAsia="方正仿宋_GBK" w:hAnsiTheme="majorEastAsia"/>
              </w:rPr>
            </w:pPr>
            <w:r>
              <w:rPr>
                <w:rFonts w:ascii="方正仿宋_GBK" w:eastAsia="方正仿宋_GBK" w:hAnsiTheme="majorEastAsia" w:hint="eastAsia"/>
              </w:rPr>
              <w:t>≤</w:t>
            </w:r>
            <w:r>
              <w:rPr>
                <w:rFonts w:ascii="方正仿宋_GBK" w:eastAsia="方正仿宋_GBK" w:hAnsiTheme="majorEastAsia" w:hint="eastAsia"/>
              </w:rPr>
              <w:t>60%</w:t>
            </w:r>
          </w:p>
        </w:tc>
      </w:tr>
      <w:tr w:rsidR="001415A3">
        <w:trPr>
          <w:trHeight w:val="227"/>
          <w:jc w:val="center"/>
        </w:trPr>
        <w:tc>
          <w:tcPr>
            <w:tcW w:w="2341" w:type="dxa"/>
            <w:shd w:val="clear" w:color="auto" w:fill="auto"/>
            <w:vAlign w:val="center"/>
          </w:tcPr>
          <w:p w:rsidR="001415A3" w:rsidRDefault="007D2755">
            <w:pPr>
              <w:spacing w:line="300" w:lineRule="exact"/>
              <w:jc w:val="left"/>
              <w:rPr>
                <w:rFonts w:ascii="方正仿宋_GBK" w:eastAsia="方正仿宋_GBK" w:hAnsiTheme="majorEastAsia"/>
                <w:b/>
              </w:rPr>
            </w:pPr>
            <w:r>
              <w:rPr>
                <w:rFonts w:ascii="方正仿宋_GBK" w:eastAsia="方正仿宋_GBK" w:hAnsiTheme="majorEastAsia" w:hint="eastAsia"/>
                <w:b/>
              </w:rPr>
              <w:lastRenderedPageBreak/>
              <w:t>城乡建设管理</w:t>
            </w:r>
          </w:p>
        </w:tc>
        <w:tc>
          <w:tcPr>
            <w:tcW w:w="1276" w:type="dxa"/>
            <w:shd w:val="clear" w:color="auto" w:fill="auto"/>
            <w:vAlign w:val="center"/>
          </w:tcPr>
          <w:p w:rsidR="001415A3" w:rsidRDefault="007D2755">
            <w:pPr>
              <w:spacing w:line="300" w:lineRule="exact"/>
              <w:jc w:val="left"/>
              <w:rPr>
                <w:rFonts w:ascii="方正仿宋_GBK" w:eastAsia="方正仿宋_GBK" w:hAnsiTheme="majorEastAsia"/>
              </w:rPr>
            </w:pPr>
            <w:r>
              <w:rPr>
                <w:rFonts w:ascii="方正仿宋_GBK" w:eastAsia="方正仿宋_GBK" w:hAnsiTheme="majorEastAsia" w:hint="eastAsia"/>
              </w:rPr>
              <w:t>44.00</w:t>
            </w:r>
          </w:p>
        </w:tc>
        <w:tc>
          <w:tcPr>
            <w:tcW w:w="2976" w:type="dxa"/>
            <w:shd w:val="clear" w:color="auto" w:fill="auto"/>
            <w:vAlign w:val="center"/>
          </w:tcPr>
          <w:p w:rsidR="001415A3" w:rsidRDefault="007D2755">
            <w:pPr>
              <w:spacing w:line="300" w:lineRule="exact"/>
              <w:jc w:val="left"/>
              <w:rPr>
                <w:rFonts w:ascii="方正仿宋_GBK" w:eastAsia="方正仿宋_GBK" w:hAnsiTheme="majorEastAsia"/>
              </w:rPr>
            </w:pPr>
            <w:r>
              <w:rPr>
                <w:rFonts w:ascii="方正仿宋_GBK" w:eastAsia="方正仿宋_GBK" w:hAnsiTheme="majorEastAsia" w:hint="eastAsia"/>
              </w:rPr>
              <w:t>指导城市市政公用设施建设、安全和应急管理；拟定风景名胜区的发展规划、政策并指导实施；拟定村庄和小城镇建设政策并指导实施；指导镇、乡村庄规划的编制和实施；指导农村住房建设、住房安全和危房改造；改善小城镇和村庄人居环境；指导做好国家级重点镇及市级重点镇的建设。</w:t>
            </w:r>
          </w:p>
        </w:tc>
        <w:tc>
          <w:tcPr>
            <w:tcW w:w="2976" w:type="dxa"/>
            <w:shd w:val="clear" w:color="auto" w:fill="auto"/>
            <w:vAlign w:val="center"/>
          </w:tcPr>
          <w:p w:rsidR="001415A3" w:rsidRDefault="007D2755">
            <w:pPr>
              <w:spacing w:line="300" w:lineRule="exact"/>
              <w:jc w:val="left"/>
              <w:rPr>
                <w:rFonts w:ascii="方正仿宋_GBK" w:eastAsia="方正仿宋_GBK" w:hAnsiTheme="majorEastAsia"/>
              </w:rPr>
            </w:pPr>
            <w:r>
              <w:rPr>
                <w:rFonts w:ascii="方正仿宋_GBK" w:eastAsia="方正仿宋_GBK" w:hAnsiTheme="majorEastAsia" w:hint="eastAsia"/>
              </w:rPr>
              <w:t>加强管理，提高城市承载能力和宜居度。加强村镇建设，改善农村人居环境，实现城乡统筹发展。协调和指导推进城镇化工作，加快城镇化进程。指导城市建设投融资体制改革，破解融资难题。</w:t>
            </w:r>
          </w:p>
        </w:tc>
        <w:tc>
          <w:tcPr>
            <w:tcW w:w="1417" w:type="dxa"/>
            <w:shd w:val="clear" w:color="auto" w:fill="auto"/>
            <w:vAlign w:val="center"/>
          </w:tcPr>
          <w:p w:rsidR="001415A3" w:rsidRDefault="001415A3">
            <w:pPr>
              <w:spacing w:line="300" w:lineRule="exact"/>
              <w:jc w:val="left"/>
              <w:rPr>
                <w:rFonts w:ascii="方正仿宋_GBK" w:eastAsia="方正仿宋_GBK" w:hAnsiTheme="majorEastAsia"/>
              </w:rPr>
            </w:pPr>
          </w:p>
        </w:tc>
        <w:tc>
          <w:tcPr>
            <w:tcW w:w="737" w:type="dxa"/>
            <w:shd w:val="clear" w:color="auto" w:fill="auto"/>
            <w:vAlign w:val="center"/>
          </w:tcPr>
          <w:p w:rsidR="001415A3" w:rsidRDefault="001415A3">
            <w:pPr>
              <w:spacing w:line="300" w:lineRule="exact"/>
              <w:jc w:val="center"/>
              <w:rPr>
                <w:rFonts w:ascii="方正仿宋_GBK" w:eastAsia="方正仿宋_GBK" w:hAnsiTheme="majorEastAsia"/>
              </w:rPr>
            </w:pPr>
          </w:p>
        </w:tc>
        <w:tc>
          <w:tcPr>
            <w:tcW w:w="737" w:type="dxa"/>
            <w:shd w:val="clear" w:color="auto" w:fill="auto"/>
            <w:vAlign w:val="center"/>
          </w:tcPr>
          <w:p w:rsidR="001415A3" w:rsidRDefault="001415A3">
            <w:pPr>
              <w:spacing w:line="300" w:lineRule="exact"/>
              <w:jc w:val="center"/>
              <w:rPr>
                <w:rFonts w:ascii="方正仿宋_GBK" w:eastAsia="方正仿宋_GBK" w:hAnsiTheme="majorEastAsia"/>
              </w:rPr>
            </w:pPr>
          </w:p>
        </w:tc>
        <w:tc>
          <w:tcPr>
            <w:tcW w:w="737" w:type="dxa"/>
            <w:shd w:val="clear" w:color="auto" w:fill="auto"/>
            <w:vAlign w:val="center"/>
          </w:tcPr>
          <w:p w:rsidR="001415A3" w:rsidRDefault="001415A3">
            <w:pPr>
              <w:spacing w:line="300" w:lineRule="exact"/>
              <w:jc w:val="center"/>
              <w:rPr>
                <w:rFonts w:ascii="方正仿宋_GBK" w:eastAsia="方正仿宋_GBK" w:hAnsiTheme="majorEastAsia"/>
              </w:rPr>
            </w:pPr>
          </w:p>
        </w:tc>
        <w:tc>
          <w:tcPr>
            <w:tcW w:w="737" w:type="dxa"/>
            <w:shd w:val="clear" w:color="auto" w:fill="auto"/>
            <w:vAlign w:val="center"/>
          </w:tcPr>
          <w:p w:rsidR="001415A3" w:rsidRDefault="001415A3">
            <w:pPr>
              <w:spacing w:line="300" w:lineRule="exact"/>
              <w:jc w:val="center"/>
              <w:rPr>
                <w:rFonts w:ascii="方正仿宋_GBK" w:eastAsia="方正仿宋_GBK" w:hAnsiTheme="majorEastAsia"/>
              </w:rPr>
            </w:pPr>
          </w:p>
        </w:tc>
      </w:tr>
      <w:tr w:rsidR="001415A3">
        <w:trPr>
          <w:trHeight w:val="227"/>
          <w:jc w:val="center"/>
        </w:trPr>
        <w:tc>
          <w:tcPr>
            <w:tcW w:w="2341" w:type="dxa"/>
            <w:shd w:val="clear" w:color="auto" w:fill="auto"/>
            <w:vAlign w:val="center"/>
          </w:tcPr>
          <w:p w:rsidR="001415A3" w:rsidRDefault="007D2755">
            <w:pPr>
              <w:spacing w:line="300" w:lineRule="exact"/>
              <w:jc w:val="left"/>
              <w:rPr>
                <w:rFonts w:ascii="方正仿宋_GBK" w:eastAsia="方正仿宋_GBK" w:hAnsiTheme="majorEastAsia"/>
                <w:b/>
              </w:rPr>
            </w:pPr>
            <w:r>
              <w:rPr>
                <w:rFonts w:ascii="方正仿宋_GBK" w:eastAsia="方正仿宋_GBK" w:hAnsiTheme="majorEastAsia" w:hint="eastAsia"/>
                <w:b/>
              </w:rPr>
              <w:t xml:space="preserve">　　城市容貌环境综合整治</w:t>
            </w:r>
          </w:p>
        </w:tc>
        <w:tc>
          <w:tcPr>
            <w:tcW w:w="1276" w:type="dxa"/>
            <w:shd w:val="clear" w:color="auto" w:fill="auto"/>
            <w:vAlign w:val="center"/>
          </w:tcPr>
          <w:p w:rsidR="001415A3" w:rsidRDefault="007D2755">
            <w:pPr>
              <w:spacing w:line="300" w:lineRule="exact"/>
              <w:jc w:val="left"/>
              <w:rPr>
                <w:rFonts w:ascii="方正仿宋_GBK" w:eastAsia="方正仿宋_GBK" w:hAnsiTheme="majorEastAsia"/>
              </w:rPr>
            </w:pPr>
            <w:r>
              <w:rPr>
                <w:rFonts w:ascii="方正仿宋_GBK" w:eastAsia="方正仿宋_GBK" w:hAnsiTheme="majorEastAsia" w:hint="eastAsia"/>
              </w:rPr>
              <w:t>44.00</w:t>
            </w:r>
          </w:p>
        </w:tc>
        <w:tc>
          <w:tcPr>
            <w:tcW w:w="2976" w:type="dxa"/>
            <w:shd w:val="clear" w:color="auto" w:fill="auto"/>
            <w:vAlign w:val="center"/>
          </w:tcPr>
          <w:p w:rsidR="001415A3" w:rsidRDefault="007D2755">
            <w:pPr>
              <w:spacing w:line="300" w:lineRule="exact"/>
              <w:jc w:val="left"/>
              <w:rPr>
                <w:rFonts w:ascii="方正仿宋_GBK" w:eastAsia="方正仿宋_GBK" w:hAnsiTheme="majorEastAsia"/>
              </w:rPr>
            </w:pPr>
            <w:r>
              <w:rPr>
                <w:rFonts w:ascii="方正仿宋_GBK" w:eastAsia="方正仿宋_GBK" w:hAnsiTheme="majorEastAsia" w:hint="eastAsia"/>
              </w:rPr>
              <w:t>指导城市市容环境治理、城建监察、数字化城市管理系统平台建设及运行等各项工作，加强餐厨废弃物管理，改善人居环境，大气污染治理。</w:t>
            </w:r>
          </w:p>
        </w:tc>
        <w:tc>
          <w:tcPr>
            <w:tcW w:w="2976" w:type="dxa"/>
            <w:shd w:val="clear" w:color="auto" w:fill="auto"/>
            <w:vAlign w:val="center"/>
          </w:tcPr>
          <w:p w:rsidR="001415A3" w:rsidRDefault="007D2755">
            <w:pPr>
              <w:spacing w:line="300" w:lineRule="exact"/>
              <w:jc w:val="left"/>
              <w:rPr>
                <w:rFonts w:ascii="方正仿宋_GBK" w:eastAsia="方正仿宋_GBK" w:hAnsiTheme="majorEastAsia"/>
              </w:rPr>
            </w:pPr>
            <w:r>
              <w:rPr>
                <w:rFonts w:ascii="方正仿宋_GBK" w:eastAsia="方正仿宋_GBK" w:hAnsiTheme="majorEastAsia" w:hint="eastAsia"/>
              </w:rPr>
              <w:t>加快数字化城管平台建设，实现城市管理信息化</w:t>
            </w:r>
          </w:p>
        </w:tc>
        <w:tc>
          <w:tcPr>
            <w:tcW w:w="1417" w:type="dxa"/>
            <w:shd w:val="clear" w:color="auto" w:fill="auto"/>
            <w:vAlign w:val="center"/>
          </w:tcPr>
          <w:p w:rsidR="001415A3" w:rsidRDefault="007D2755">
            <w:pPr>
              <w:spacing w:line="300" w:lineRule="exact"/>
              <w:jc w:val="left"/>
              <w:rPr>
                <w:rFonts w:ascii="方正仿宋_GBK" w:eastAsia="方正仿宋_GBK" w:hAnsiTheme="majorEastAsia"/>
              </w:rPr>
            </w:pPr>
            <w:r>
              <w:rPr>
                <w:rFonts w:ascii="方正仿宋_GBK" w:eastAsia="方正仿宋_GBK" w:hAnsiTheme="majorEastAsia" w:hint="eastAsia"/>
              </w:rPr>
              <w:t>数字化城管平台建设率</w:t>
            </w:r>
          </w:p>
        </w:tc>
        <w:tc>
          <w:tcPr>
            <w:tcW w:w="737" w:type="dxa"/>
            <w:shd w:val="clear" w:color="auto" w:fill="auto"/>
            <w:vAlign w:val="center"/>
          </w:tcPr>
          <w:p w:rsidR="001415A3" w:rsidRDefault="007D2755">
            <w:pPr>
              <w:spacing w:line="300" w:lineRule="exact"/>
              <w:jc w:val="center"/>
              <w:rPr>
                <w:rFonts w:ascii="方正仿宋_GBK" w:eastAsia="方正仿宋_GBK" w:hAnsiTheme="majorEastAsia"/>
              </w:rPr>
            </w:pPr>
            <w:r>
              <w:rPr>
                <w:rFonts w:ascii="方正仿宋_GBK" w:eastAsia="方正仿宋_GBK" w:hAnsiTheme="majorEastAsia" w:hint="eastAsia"/>
              </w:rPr>
              <w:t>90%</w:t>
            </w:r>
          </w:p>
        </w:tc>
        <w:tc>
          <w:tcPr>
            <w:tcW w:w="737" w:type="dxa"/>
            <w:shd w:val="clear" w:color="auto" w:fill="auto"/>
            <w:vAlign w:val="center"/>
          </w:tcPr>
          <w:p w:rsidR="001415A3" w:rsidRDefault="007D2755">
            <w:pPr>
              <w:spacing w:line="300" w:lineRule="exact"/>
              <w:jc w:val="center"/>
              <w:rPr>
                <w:rFonts w:ascii="方正仿宋_GBK" w:eastAsia="方正仿宋_GBK" w:hAnsiTheme="majorEastAsia"/>
              </w:rPr>
            </w:pPr>
            <w:r>
              <w:rPr>
                <w:rFonts w:ascii="方正仿宋_GBK" w:eastAsia="方正仿宋_GBK" w:hAnsiTheme="majorEastAsia" w:hint="eastAsia"/>
              </w:rPr>
              <w:t>80%</w:t>
            </w:r>
          </w:p>
        </w:tc>
        <w:tc>
          <w:tcPr>
            <w:tcW w:w="737" w:type="dxa"/>
            <w:shd w:val="clear" w:color="auto" w:fill="auto"/>
            <w:vAlign w:val="center"/>
          </w:tcPr>
          <w:p w:rsidR="001415A3" w:rsidRDefault="007D2755">
            <w:pPr>
              <w:spacing w:line="300" w:lineRule="exact"/>
              <w:jc w:val="center"/>
              <w:rPr>
                <w:rFonts w:ascii="方正仿宋_GBK" w:eastAsia="方正仿宋_GBK" w:hAnsiTheme="majorEastAsia"/>
              </w:rPr>
            </w:pPr>
            <w:r>
              <w:rPr>
                <w:rFonts w:ascii="方正仿宋_GBK" w:eastAsia="方正仿宋_GBK" w:hAnsiTheme="majorEastAsia" w:hint="eastAsia"/>
              </w:rPr>
              <w:t>70%</w:t>
            </w:r>
          </w:p>
        </w:tc>
        <w:tc>
          <w:tcPr>
            <w:tcW w:w="737" w:type="dxa"/>
            <w:shd w:val="clear" w:color="auto" w:fill="auto"/>
            <w:vAlign w:val="center"/>
          </w:tcPr>
          <w:p w:rsidR="001415A3" w:rsidRDefault="007D2755">
            <w:pPr>
              <w:spacing w:line="300" w:lineRule="exact"/>
              <w:jc w:val="center"/>
              <w:rPr>
                <w:rFonts w:ascii="方正仿宋_GBK" w:eastAsia="方正仿宋_GBK" w:hAnsiTheme="majorEastAsia"/>
              </w:rPr>
            </w:pPr>
            <w:r>
              <w:rPr>
                <w:rFonts w:ascii="方正仿宋_GBK" w:eastAsia="方正仿宋_GBK" w:hAnsiTheme="majorEastAsia" w:hint="eastAsia"/>
              </w:rPr>
              <w:t>≤</w:t>
            </w:r>
            <w:r>
              <w:rPr>
                <w:rFonts w:ascii="方正仿宋_GBK" w:eastAsia="方正仿宋_GBK" w:hAnsiTheme="majorEastAsia" w:hint="eastAsia"/>
              </w:rPr>
              <w:t>60%</w:t>
            </w:r>
          </w:p>
        </w:tc>
      </w:tr>
    </w:tbl>
    <w:p w:rsidR="001415A3" w:rsidRDefault="001415A3">
      <w:pPr>
        <w:autoSpaceDE w:val="0"/>
        <w:autoSpaceDN w:val="0"/>
        <w:adjustRightInd w:val="0"/>
        <w:ind w:left="200"/>
        <w:jc w:val="left"/>
        <w:rPr>
          <w:rFonts w:ascii="方正仿宋_GBK" w:eastAsia="方正仿宋_GBK" w:hAnsiTheme="majorEastAsia" w:cs="宋体"/>
          <w:kern w:val="0"/>
          <w:sz w:val="18"/>
          <w:szCs w:val="18"/>
          <w:lang w:val="zh-CN"/>
        </w:rPr>
      </w:pPr>
    </w:p>
    <w:p w:rsidR="001415A3" w:rsidRDefault="007D2755">
      <w:pPr>
        <w:autoSpaceDE w:val="0"/>
        <w:autoSpaceDN w:val="0"/>
        <w:adjustRightInd w:val="0"/>
        <w:ind w:firstLineChars="250" w:firstLine="803"/>
        <w:jc w:val="left"/>
        <w:rPr>
          <w:rFonts w:ascii="楷体" w:eastAsia="楷体" w:hAnsi="楷体" w:cs="Times New Roman"/>
          <w:b/>
          <w:bCs/>
          <w:sz w:val="32"/>
          <w:szCs w:val="32"/>
        </w:rPr>
      </w:pPr>
      <w:r>
        <w:rPr>
          <w:rFonts w:ascii="楷体" w:eastAsia="楷体" w:hAnsi="楷体" w:cs="Times New Roman" w:hint="eastAsia"/>
          <w:b/>
          <w:bCs/>
          <w:sz w:val="32"/>
          <w:szCs w:val="32"/>
        </w:rPr>
        <w:t>（八）政府采购决算情况</w:t>
      </w:r>
      <w:bookmarkStart w:id="2" w:name="_Toc471398468"/>
    </w:p>
    <w:tbl>
      <w:tblPr>
        <w:tblW w:w="14480"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4A0"/>
      </w:tblPr>
      <w:tblGrid>
        <w:gridCol w:w="2020"/>
        <w:gridCol w:w="2360"/>
        <w:gridCol w:w="2020"/>
        <w:gridCol w:w="2020"/>
        <w:gridCol w:w="2020"/>
        <w:gridCol w:w="2020"/>
        <w:gridCol w:w="2020"/>
      </w:tblGrid>
      <w:tr w:rsidR="001415A3">
        <w:trPr>
          <w:trHeight w:val="540"/>
        </w:trPr>
        <w:tc>
          <w:tcPr>
            <w:tcW w:w="14480" w:type="dxa"/>
            <w:gridSpan w:val="7"/>
            <w:tcBorders>
              <w:top w:val="nil"/>
              <w:left w:val="nil"/>
              <w:bottom w:val="nil"/>
              <w:right w:val="nil"/>
            </w:tcBorders>
            <w:shd w:val="clear" w:color="auto" w:fill="FFFFFF" w:themeFill="background1"/>
            <w:vAlign w:val="bottom"/>
          </w:tcPr>
          <w:bookmarkEnd w:id="2"/>
          <w:p w:rsidR="001415A3" w:rsidRDefault="007D2755">
            <w:pPr>
              <w:widowControl/>
              <w:jc w:val="center"/>
              <w:rPr>
                <w:rFonts w:ascii="宋体" w:eastAsia="宋体" w:hAnsi="宋体" w:cs="宋体"/>
                <w:kern w:val="0"/>
                <w:sz w:val="24"/>
                <w:szCs w:val="24"/>
              </w:rPr>
            </w:pPr>
            <w:r>
              <w:rPr>
                <w:rFonts w:ascii="宋体" w:eastAsia="宋体" w:hAnsi="宋体" w:cs="宋体" w:hint="eastAsia"/>
                <w:color w:val="000000"/>
                <w:kern w:val="0"/>
                <w:sz w:val="44"/>
                <w:szCs w:val="44"/>
              </w:rPr>
              <w:t>政府采购情况表</w:t>
            </w:r>
          </w:p>
        </w:tc>
      </w:tr>
      <w:tr w:rsidR="001415A3">
        <w:trPr>
          <w:trHeight w:val="300"/>
        </w:trPr>
        <w:tc>
          <w:tcPr>
            <w:tcW w:w="4380" w:type="dxa"/>
            <w:gridSpan w:val="2"/>
            <w:tcBorders>
              <w:top w:val="nil"/>
              <w:left w:val="nil"/>
              <w:bottom w:val="single" w:sz="8" w:space="0" w:color="000000"/>
              <w:right w:val="nil"/>
            </w:tcBorders>
            <w:shd w:val="clear" w:color="auto" w:fill="FFFFFF" w:themeFill="background1"/>
            <w:vAlign w:val="bottom"/>
          </w:tcPr>
          <w:p w:rsidR="001415A3" w:rsidRDefault="007D2755">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w:t>
            </w:r>
            <w:r>
              <w:rPr>
                <w:rFonts w:ascii="宋体" w:eastAsia="宋体" w:hAnsi="宋体" w:cs="宋体" w:hint="eastAsia"/>
                <w:color w:val="000000"/>
                <w:kern w:val="0"/>
                <w:sz w:val="20"/>
                <w:szCs w:val="20"/>
              </w:rPr>
              <w:t>814</w:t>
            </w:r>
            <w:r>
              <w:rPr>
                <w:rFonts w:ascii="宋体" w:eastAsia="宋体" w:hAnsi="宋体" w:cs="宋体" w:hint="eastAsia"/>
                <w:color w:val="000000"/>
                <w:kern w:val="0"/>
                <w:sz w:val="20"/>
                <w:szCs w:val="20"/>
              </w:rPr>
              <w:t>霸州市城市管理行政执法局</w:t>
            </w:r>
          </w:p>
        </w:tc>
        <w:tc>
          <w:tcPr>
            <w:tcW w:w="2020" w:type="dxa"/>
            <w:tcBorders>
              <w:top w:val="nil"/>
              <w:left w:val="nil"/>
              <w:bottom w:val="single" w:sz="8" w:space="0" w:color="000000"/>
              <w:right w:val="nil"/>
            </w:tcBorders>
            <w:shd w:val="clear" w:color="auto" w:fill="FFFFFF" w:themeFill="background1"/>
            <w:vAlign w:val="bottom"/>
          </w:tcPr>
          <w:p w:rsidR="001415A3" w:rsidRDefault="001415A3">
            <w:pPr>
              <w:widowControl/>
              <w:jc w:val="left"/>
              <w:rPr>
                <w:rFonts w:ascii="宋体" w:eastAsia="宋体" w:hAnsi="宋体" w:cs="宋体"/>
                <w:kern w:val="0"/>
                <w:sz w:val="24"/>
                <w:szCs w:val="24"/>
              </w:rPr>
            </w:pPr>
          </w:p>
        </w:tc>
        <w:tc>
          <w:tcPr>
            <w:tcW w:w="2020" w:type="dxa"/>
            <w:tcBorders>
              <w:top w:val="nil"/>
              <w:left w:val="nil"/>
              <w:bottom w:val="single" w:sz="8" w:space="0" w:color="000000"/>
              <w:right w:val="nil"/>
            </w:tcBorders>
            <w:shd w:val="clear" w:color="auto" w:fill="FFFFFF" w:themeFill="background1"/>
            <w:vAlign w:val="bottom"/>
          </w:tcPr>
          <w:p w:rsidR="001415A3" w:rsidRDefault="007D275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2016</w:t>
            </w:r>
            <w:r>
              <w:rPr>
                <w:rFonts w:ascii="宋体" w:eastAsia="宋体" w:hAnsi="宋体" w:cs="宋体" w:hint="eastAsia"/>
                <w:color w:val="000000"/>
                <w:kern w:val="0"/>
                <w:sz w:val="20"/>
                <w:szCs w:val="20"/>
              </w:rPr>
              <w:t>年度</w:t>
            </w:r>
          </w:p>
        </w:tc>
        <w:tc>
          <w:tcPr>
            <w:tcW w:w="2020" w:type="dxa"/>
            <w:tcBorders>
              <w:top w:val="nil"/>
              <w:left w:val="nil"/>
              <w:bottom w:val="single" w:sz="8" w:space="0" w:color="000000"/>
              <w:right w:val="nil"/>
            </w:tcBorders>
            <w:shd w:val="clear" w:color="auto" w:fill="FFFFFF" w:themeFill="background1"/>
            <w:vAlign w:val="bottom"/>
          </w:tcPr>
          <w:p w:rsidR="001415A3" w:rsidRDefault="001415A3">
            <w:pPr>
              <w:widowControl/>
              <w:jc w:val="left"/>
              <w:rPr>
                <w:rFonts w:ascii="宋体" w:eastAsia="宋体" w:hAnsi="宋体" w:cs="宋体"/>
                <w:kern w:val="0"/>
                <w:sz w:val="24"/>
                <w:szCs w:val="24"/>
              </w:rPr>
            </w:pPr>
          </w:p>
        </w:tc>
        <w:tc>
          <w:tcPr>
            <w:tcW w:w="2020" w:type="dxa"/>
            <w:tcBorders>
              <w:top w:val="nil"/>
              <w:left w:val="nil"/>
              <w:bottom w:val="single" w:sz="8" w:space="0" w:color="000000"/>
              <w:right w:val="nil"/>
            </w:tcBorders>
            <w:shd w:val="clear" w:color="auto" w:fill="FFFFFF" w:themeFill="background1"/>
            <w:vAlign w:val="bottom"/>
          </w:tcPr>
          <w:p w:rsidR="001415A3" w:rsidRDefault="001415A3">
            <w:pPr>
              <w:widowControl/>
              <w:jc w:val="left"/>
              <w:rPr>
                <w:rFonts w:ascii="宋体" w:eastAsia="宋体" w:hAnsi="宋体" w:cs="宋体"/>
                <w:kern w:val="0"/>
                <w:sz w:val="24"/>
                <w:szCs w:val="24"/>
              </w:rPr>
            </w:pPr>
          </w:p>
        </w:tc>
        <w:tc>
          <w:tcPr>
            <w:tcW w:w="2020" w:type="dxa"/>
            <w:tcBorders>
              <w:top w:val="nil"/>
              <w:left w:val="nil"/>
              <w:bottom w:val="single" w:sz="8" w:space="0" w:color="000000"/>
              <w:right w:val="nil"/>
            </w:tcBorders>
            <w:shd w:val="clear" w:color="auto" w:fill="FFFFFF" w:themeFill="background1"/>
            <w:vAlign w:val="bottom"/>
          </w:tcPr>
          <w:p w:rsidR="001415A3" w:rsidRDefault="007D2755">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金额单位：万元</w:t>
            </w:r>
          </w:p>
        </w:tc>
      </w:tr>
      <w:tr w:rsidR="001415A3">
        <w:trPr>
          <w:trHeight w:val="308"/>
        </w:trPr>
        <w:tc>
          <w:tcPr>
            <w:tcW w:w="2020" w:type="dxa"/>
            <w:vMerge w:val="restart"/>
            <w:tcBorders>
              <w:top w:val="single" w:sz="8" w:space="0" w:color="000000"/>
            </w:tcBorders>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项目</w:t>
            </w:r>
          </w:p>
        </w:tc>
        <w:tc>
          <w:tcPr>
            <w:tcW w:w="12460" w:type="dxa"/>
            <w:gridSpan w:val="6"/>
            <w:tcBorders>
              <w:top w:val="single" w:sz="8" w:space="0" w:color="000000"/>
            </w:tcBorders>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采购计划金额</w:t>
            </w:r>
          </w:p>
        </w:tc>
      </w:tr>
      <w:tr w:rsidR="001415A3">
        <w:trPr>
          <w:trHeight w:val="308"/>
        </w:trPr>
        <w:tc>
          <w:tcPr>
            <w:tcW w:w="2020" w:type="dxa"/>
            <w:vMerge/>
            <w:shd w:val="clear" w:color="auto" w:fill="FFFFFF" w:themeFill="background1"/>
            <w:vAlign w:val="center"/>
          </w:tcPr>
          <w:p w:rsidR="001415A3" w:rsidRDefault="001415A3">
            <w:pPr>
              <w:widowControl/>
              <w:jc w:val="left"/>
              <w:rPr>
                <w:rFonts w:ascii="宋体" w:eastAsia="宋体" w:hAnsi="宋体" w:cs="宋体"/>
                <w:color w:val="000000"/>
                <w:kern w:val="0"/>
                <w:sz w:val="22"/>
              </w:rPr>
            </w:pPr>
          </w:p>
        </w:tc>
        <w:tc>
          <w:tcPr>
            <w:tcW w:w="2360" w:type="dxa"/>
            <w:vMerge w:val="restart"/>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总计</w:t>
            </w:r>
          </w:p>
        </w:tc>
        <w:tc>
          <w:tcPr>
            <w:tcW w:w="8080" w:type="dxa"/>
            <w:gridSpan w:val="4"/>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采购预算</w:t>
            </w:r>
            <w:r>
              <w:rPr>
                <w:rFonts w:ascii="宋体" w:eastAsia="宋体" w:hAnsi="宋体" w:cs="宋体" w:hint="eastAsia"/>
                <w:color w:val="000000"/>
                <w:kern w:val="0"/>
                <w:sz w:val="22"/>
              </w:rPr>
              <w:t>(</w:t>
            </w:r>
            <w:r>
              <w:rPr>
                <w:rFonts w:ascii="宋体" w:eastAsia="宋体" w:hAnsi="宋体" w:cs="宋体" w:hint="eastAsia"/>
                <w:color w:val="000000"/>
                <w:kern w:val="0"/>
                <w:sz w:val="22"/>
              </w:rPr>
              <w:t>财政性资金</w:t>
            </w:r>
            <w:r>
              <w:rPr>
                <w:rFonts w:ascii="宋体" w:eastAsia="宋体" w:hAnsi="宋体" w:cs="宋体" w:hint="eastAsia"/>
                <w:color w:val="000000"/>
                <w:kern w:val="0"/>
                <w:sz w:val="22"/>
              </w:rPr>
              <w:t>)</w:t>
            </w:r>
          </w:p>
        </w:tc>
        <w:tc>
          <w:tcPr>
            <w:tcW w:w="2020" w:type="dxa"/>
            <w:vMerge w:val="restart"/>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非财政性资金</w:t>
            </w:r>
          </w:p>
        </w:tc>
      </w:tr>
      <w:tr w:rsidR="001415A3">
        <w:trPr>
          <w:trHeight w:val="308"/>
        </w:trPr>
        <w:tc>
          <w:tcPr>
            <w:tcW w:w="2020" w:type="dxa"/>
            <w:vMerge/>
            <w:shd w:val="clear" w:color="auto" w:fill="FFFFFF" w:themeFill="background1"/>
            <w:vAlign w:val="center"/>
          </w:tcPr>
          <w:p w:rsidR="001415A3" w:rsidRDefault="001415A3">
            <w:pPr>
              <w:widowControl/>
              <w:jc w:val="left"/>
              <w:rPr>
                <w:rFonts w:ascii="宋体" w:eastAsia="宋体" w:hAnsi="宋体" w:cs="宋体"/>
                <w:color w:val="000000"/>
                <w:kern w:val="0"/>
                <w:sz w:val="22"/>
              </w:rPr>
            </w:pPr>
          </w:p>
        </w:tc>
        <w:tc>
          <w:tcPr>
            <w:tcW w:w="2360" w:type="dxa"/>
            <w:vMerge/>
            <w:shd w:val="clear" w:color="auto" w:fill="FFFFFF" w:themeFill="background1"/>
            <w:vAlign w:val="center"/>
          </w:tcPr>
          <w:p w:rsidR="001415A3" w:rsidRDefault="001415A3">
            <w:pPr>
              <w:widowControl/>
              <w:jc w:val="left"/>
              <w:rPr>
                <w:rFonts w:ascii="宋体" w:eastAsia="宋体" w:hAnsi="宋体" w:cs="宋体"/>
                <w:color w:val="000000"/>
                <w:kern w:val="0"/>
                <w:sz w:val="22"/>
              </w:rPr>
            </w:pPr>
          </w:p>
        </w:tc>
        <w:tc>
          <w:tcPr>
            <w:tcW w:w="2020" w:type="dxa"/>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合计</w:t>
            </w:r>
          </w:p>
        </w:tc>
        <w:tc>
          <w:tcPr>
            <w:tcW w:w="2020" w:type="dxa"/>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一般公共预算</w:t>
            </w:r>
          </w:p>
        </w:tc>
        <w:tc>
          <w:tcPr>
            <w:tcW w:w="2020" w:type="dxa"/>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政府性基金预算</w:t>
            </w:r>
          </w:p>
        </w:tc>
        <w:tc>
          <w:tcPr>
            <w:tcW w:w="2020" w:type="dxa"/>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其他资金</w:t>
            </w:r>
          </w:p>
        </w:tc>
        <w:tc>
          <w:tcPr>
            <w:tcW w:w="2020" w:type="dxa"/>
            <w:vMerge/>
            <w:shd w:val="clear" w:color="auto" w:fill="FFFFFF" w:themeFill="background1"/>
            <w:vAlign w:val="center"/>
          </w:tcPr>
          <w:p w:rsidR="001415A3" w:rsidRDefault="001415A3">
            <w:pPr>
              <w:widowControl/>
              <w:jc w:val="left"/>
              <w:rPr>
                <w:rFonts w:ascii="宋体" w:eastAsia="宋体" w:hAnsi="宋体" w:cs="宋体"/>
                <w:color w:val="000000"/>
                <w:kern w:val="0"/>
                <w:sz w:val="22"/>
              </w:rPr>
            </w:pPr>
          </w:p>
        </w:tc>
      </w:tr>
      <w:tr w:rsidR="001415A3">
        <w:trPr>
          <w:trHeight w:val="308"/>
        </w:trPr>
        <w:tc>
          <w:tcPr>
            <w:tcW w:w="2020" w:type="dxa"/>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栏次</w:t>
            </w:r>
          </w:p>
        </w:tc>
        <w:tc>
          <w:tcPr>
            <w:tcW w:w="2360" w:type="dxa"/>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2020" w:type="dxa"/>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2020" w:type="dxa"/>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2020" w:type="dxa"/>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2020" w:type="dxa"/>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2020" w:type="dxa"/>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r>
      <w:tr w:rsidR="001415A3">
        <w:trPr>
          <w:trHeight w:val="308"/>
        </w:trPr>
        <w:tc>
          <w:tcPr>
            <w:tcW w:w="2020" w:type="dxa"/>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合</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计</w:t>
            </w:r>
          </w:p>
        </w:tc>
        <w:tc>
          <w:tcPr>
            <w:tcW w:w="2360" w:type="dxa"/>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24.72</w:t>
            </w:r>
          </w:p>
        </w:tc>
        <w:tc>
          <w:tcPr>
            <w:tcW w:w="2020" w:type="dxa"/>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24.72</w:t>
            </w:r>
          </w:p>
        </w:tc>
        <w:tc>
          <w:tcPr>
            <w:tcW w:w="2020" w:type="dxa"/>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24.72</w:t>
            </w:r>
          </w:p>
        </w:tc>
        <w:tc>
          <w:tcPr>
            <w:tcW w:w="2020" w:type="dxa"/>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0.00</w:t>
            </w:r>
          </w:p>
        </w:tc>
        <w:tc>
          <w:tcPr>
            <w:tcW w:w="2020" w:type="dxa"/>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0.00</w:t>
            </w:r>
          </w:p>
        </w:tc>
        <w:tc>
          <w:tcPr>
            <w:tcW w:w="2020" w:type="dxa"/>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0.00</w:t>
            </w:r>
          </w:p>
        </w:tc>
      </w:tr>
      <w:tr w:rsidR="001415A3">
        <w:trPr>
          <w:trHeight w:val="308"/>
        </w:trPr>
        <w:tc>
          <w:tcPr>
            <w:tcW w:w="2020" w:type="dxa"/>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货物</w:t>
            </w:r>
          </w:p>
        </w:tc>
        <w:tc>
          <w:tcPr>
            <w:tcW w:w="2360" w:type="dxa"/>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24.72</w:t>
            </w:r>
          </w:p>
        </w:tc>
        <w:tc>
          <w:tcPr>
            <w:tcW w:w="2020" w:type="dxa"/>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24.72</w:t>
            </w:r>
          </w:p>
        </w:tc>
        <w:tc>
          <w:tcPr>
            <w:tcW w:w="2020" w:type="dxa"/>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24.72</w:t>
            </w:r>
          </w:p>
        </w:tc>
        <w:tc>
          <w:tcPr>
            <w:tcW w:w="2020" w:type="dxa"/>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0.00</w:t>
            </w:r>
          </w:p>
        </w:tc>
        <w:tc>
          <w:tcPr>
            <w:tcW w:w="2020" w:type="dxa"/>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0.00</w:t>
            </w:r>
          </w:p>
        </w:tc>
        <w:tc>
          <w:tcPr>
            <w:tcW w:w="2020" w:type="dxa"/>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0.00</w:t>
            </w:r>
          </w:p>
        </w:tc>
      </w:tr>
      <w:tr w:rsidR="001415A3">
        <w:trPr>
          <w:trHeight w:val="308"/>
        </w:trPr>
        <w:tc>
          <w:tcPr>
            <w:tcW w:w="2020" w:type="dxa"/>
            <w:tcBorders>
              <w:tl2br w:val="nil"/>
              <w:tr2bl w:val="nil"/>
            </w:tcBorders>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工程</w:t>
            </w:r>
          </w:p>
        </w:tc>
        <w:tc>
          <w:tcPr>
            <w:tcW w:w="2360" w:type="dxa"/>
            <w:tcBorders>
              <w:tl2br w:val="nil"/>
              <w:tr2bl w:val="nil"/>
            </w:tcBorders>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2020" w:type="dxa"/>
            <w:tcBorders>
              <w:tl2br w:val="nil"/>
              <w:tr2bl w:val="nil"/>
            </w:tcBorders>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2020" w:type="dxa"/>
            <w:tcBorders>
              <w:tl2br w:val="nil"/>
              <w:tr2bl w:val="nil"/>
            </w:tcBorders>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2020" w:type="dxa"/>
            <w:tcBorders>
              <w:tl2br w:val="nil"/>
              <w:tr2bl w:val="nil"/>
            </w:tcBorders>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0.00</w:t>
            </w:r>
          </w:p>
        </w:tc>
        <w:tc>
          <w:tcPr>
            <w:tcW w:w="2020" w:type="dxa"/>
            <w:tcBorders>
              <w:tl2br w:val="nil"/>
              <w:tr2bl w:val="nil"/>
            </w:tcBorders>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0.00</w:t>
            </w:r>
          </w:p>
        </w:tc>
        <w:tc>
          <w:tcPr>
            <w:tcW w:w="2020" w:type="dxa"/>
            <w:tcBorders>
              <w:tl2br w:val="nil"/>
              <w:tr2bl w:val="nil"/>
            </w:tcBorders>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0.00</w:t>
            </w:r>
          </w:p>
        </w:tc>
      </w:tr>
      <w:tr w:rsidR="001415A3">
        <w:trPr>
          <w:trHeight w:val="308"/>
        </w:trPr>
        <w:tc>
          <w:tcPr>
            <w:tcW w:w="2020" w:type="dxa"/>
            <w:tcBorders>
              <w:tl2br w:val="nil"/>
              <w:tr2bl w:val="nil"/>
            </w:tcBorders>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服务</w:t>
            </w:r>
          </w:p>
        </w:tc>
        <w:tc>
          <w:tcPr>
            <w:tcW w:w="2360" w:type="dxa"/>
            <w:tcBorders>
              <w:tl2br w:val="nil"/>
              <w:tr2bl w:val="nil"/>
            </w:tcBorders>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0.00</w:t>
            </w:r>
          </w:p>
        </w:tc>
        <w:tc>
          <w:tcPr>
            <w:tcW w:w="2020" w:type="dxa"/>
            <w:tcBorders>
              <w:tl2br w:val="nil"/>
              <w:tr2bl w:val="nil"/>
            </w:tcBorders>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0.00</w:t>
            </w:r>
          </w:p>
        </w:tc>
        <w:tc>
          <w:tcPr>
            <w:tcW w:w="2020" w:type="dxa"/>
            <w:tcBorders>
              <w:tl2br w:val="nil"/>
              <w:tr2bl w:val="nil"/>
            </w:tcBorders>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0.00</w:t>
            </w:r>
          </w:p>
        </w:tc>
        <w:tc>
          <w:tcPr>
            <w:tcW w:w="2020" w:type="dxa"/>
            <w:tcBorders>
              <w:tl2br w:val="nil"/>
              <w:tr2bl w:val="nil"/>
            </w:tcBorders>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0.00</w:t>
            </w:r>
          </w:p>
        </w:tc>
        <w:tc>
          <w:tcPr>
            <w:tcW w:w="2020" w:type="dxa"/>
            <w:tcBorders>
              <w:tl2br w:val="nil"/>
              <w:tr2bl w:val="nil"/>
            </w:tcBorders>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0.00</w:t>
            </w:r>
          </w:p>
        </w:tc>
        <w:tc>
          <w:tcPr>
            <w:tcW w:w="2020" w:type="dxa"/>
            <w:tcBorders>
              <w:tl2br w:val="nil"/>
              <w:tr2bl w:val="nil"/>
            </w:tcBorders>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0.00</w:t>
            </w:r>
          </w:p>
        </w:tc>
      </w:tr>
      <w:tr w:rsidR="001415A3">
        <w:trPr>
          <w:trHeight w:val="308"/>
        </w:trPr>
        <w:tc>
          <w:tcPr>
            <w:tcW w:w="2020" w:type="dxa"/>
            <w:vMerge w:val="restart"/>
            <w:tcBorders>
              <w:tl2br w:val="nil"/>
              <w:tr2bl w:val="nil"/>
            </w:tcBorders>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项目</w:t>
            </w:r>
          </w:p>
        </w:tc>
        <w:tc>
          <w:tcPr>
            <w:tcW w:w="12460" w:type="dxa"/>
            <w:gridSpan w:val="6"/>
            <w:tcBorders>
              <w:tl2br w:val="nil"/>
              <w:tr2bl w:val="nil"/>
            </w:tcBorders>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实际采购金额</w:t>
            </w:r>
          </w:p>
        </w:tc>
      </w:tr>
      <w:tr w:rsidR="001415A3">
        <w:trPr>
          <w:trHeight w:val="308"/>
        </w:trPr>
        <w:tc>
          <w:tcPr>
            <w:tcW w:w="2020" w:type="dxa"/>
            <w:vMerge/>
            <w:tcBorders>
              <w:tl2br w:val="nil"/>
              <w:tr2bl w:val="nil"/>
            </w:tcBorders>
            <w:shd w:val="clear" w:color="auto" w:fill="FFFFFF" w:themeFill="background1"/>
            <w:vAlign w:val="center"/>
          </w:tcPr>
          <w:p w:rsidR="001415A3" w:rsidRDefault="001415A3">
            <w:pPr>
              <w:widowControl/>
              <w:jc w:val="left"/>
              <w:rPr>
                <w:rFonts w:ascii="宋体" w:eastAsia="宋体" w:hAnsi="宋体" w:cs="宋体"/>
                <w:color w:val="000000"/>
                <w:kern w:val="0"/>
                <w:sz w:val="22"/>
              </w:rPr>
            </w:pPr>
          </w:p>
        </w:tc>
        <w:tc>
          <w:tcPr>
            <w:tcW w:w="2360" w:type="dxa"/>
            <w:vMerge w:val="restart"/>
            <w:tcBorders>
              <w:tl2br w:val="nil"/>
              <w:tr2bl w:val="nil"/>
            </w:tcBorders>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总计</w:t>
            </w:r>
          </w:p>
        </w:tc>
        <w:tc>
          <w:tcPr>
            <w:tcW w:w="8080" w:type="dxa"/>
            <w:gridSpan w:val="4"/>
            <w:tcBorders>
              <w:tl2br w:val="nil"/>
              <w:tr2bl w:val="nil"/>
            </w:tcBorders>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采购预算</w:t>
            </w:r>
            <w:r>
              <w:rPr>
                <w:rFonts w:ascii="宋体" w:eastAsia="宋体" w:hAnsi="宋体" w:cs="宋体" w:hint="eastAsia"/>
                <w:color w:val="000000"/>
                <w:kern w:val="0"/>
                <w:sz w:val="22"/>
              </w:rPr>
              <w:t>(</w:t>
            </w:r>
            <w:r>
              <w:rPr>
                <w:rFonts w:ascii="宋体" w:eastAsia="宋体" w:hAnsi="宋体" w:cs="宋体" w:hint="eastAsia"/>
                <w:color w:val="000000"/>
                <w:kern w:val="0"/>
                <w:sz w:val="22"/>
              </w:rPr>
              <w:t>财政性资金</w:t>
            </w:r>
            <w:r>
              <w:rPr>
                <w:rFonts w:ascii="宋体" w:eastAsia="宋体" w:hAnsi="宋体" w:cs="宋体" w:hint="eastAsia"/>
                <w:color w:val="000000"/>
                <w:kern w:val="0"/>
                <w:sz w:val="22"/>
              </w:rPr>
              <w:t>)</w:t>
            </w:r>
          </w:p>
        </w:tc>
        <w:tc>
          <w:tcPr>
            <w:tcW w:w="2020" w:type="dxa"/>
            <w:vMerge w:val="restart"/>
            <w:tcBorders>
              <w:tl2br w:val="nil"/>
              <w:tr2bl w:val="nil"/>
            </w:tcBorders>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非财政性资金</w:t>
            </w:r>
          </w:p>
        </w:tc>
      </w:tr>
      <w:tr w:rsidR="001415A3">
        <w:trPr>
          <w:trHeight w:val="308"/>
        </w:trPr>
        <w:tc>
          <w:tcPr>
            <w:tcW w:w="2020" w:type="dxa"/>
            <w:vMerge/>
            <w:tcBorders>
              <w:tl2br w:val="nil"/>
              <w:tr2bl w:val="nil"/>
            </w:tcBorders>
            <w:shd w:val="clear" w:color="auto" w:fill="FFFFFF" w:themeFill="background1"/>
            <w:vAlign w:val="center"/>
          </w:tcPr>
          <w:p w:rsidR="001415A3" w:rsidRDefault="001415A3">
            <w:pPr>
              <w:widowControl/>
              <w:jc w:val="left"/>
              <w:rPr>
                <w:rFonts w:ascii="宋体" w:eastAsia="宋体" w:hAnsi="宋体" w:cs="宋体"/>
                <w:color w:val="000000"/>
                <w:kern w:val="0"/>
                <w:sz w:val="22"/>
              </w:rPr>
            </w:pPr>
          </w:p>
        </w:tc>
        <w:tc>
          <w:tcPr>
            <w:tcW w:w="2360" w:type="dxa"/>
            <w:vMerge/>
            <w:tcBorders>
              <w:tl2br w:val="nil"/>
              <w:tr2bl w:val="nil"/>
            </w:tcBorders>
            <w:shd w:val="clear" w:color="auto" w:fill="FFFFFF" w:themeFill="background1"/>
            <w:vAlign w:val="center"/>
          </w:tcPr>
          <w:p w:rsidR="001415A3" w:rsidRDefault="001415A3">
            <w:pPr>
              <w:widowControl/>
              <w:jc w:val="left"/>
              <w:rPr>
                <w:rFonts w:ascii="宋体" w:eastAsia="宋体" w:hAnsi="宋体" w:cs="宋体"/>
                <w:color w:val="000000"/>
                <w:kern w:val="0"/>
                <w:sz w:val="22"/>
              </w:rPr>
            </w:pPr>
          </w:p>
        </w:tc>
        <w:tc>
          <w:tcPr>
            <w:tcW w:w="2020" w:type="dxa"/>
            <w:tcBorders>
              <w:tl2br w:val="nil"/>
              <w:tr2bl w:val="nil"/>
            </w:tcBorders>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合计</w:t>
            </w:r>
          </w:p>
        </w:tc>
        <w:tc>
          <w:tcPr>
            <w:tcW w:w="2020" w:type="dxa"/>
            <w:tcBorders>
              <w:tl2br w:val="nil"/>
              <w:tr2bl w:val="nil"/>
            </w:tcBorders>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一般公共预算</w:t>
            </w:r>
          </w:p>
        </w:tc>
        <w:tc>
          <w:tcPr>
            <w:tcW w:w="2020" w:type="dxa"/>
            <w:tcBorders>
              <w:tl2br w:val="nil"/>
              <w:tr2bl w:val="nil"/>
            </w:tcBorders>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政府性基金预算</w:t>
            </w:r>
          </w:p>
        </w:tc>
        <w:tc>
          <w:tcPr>
            <w:tcW w:w="2020" w:type="dxa"/>
            <w:tcBorders>
              <w:tl2br w:val="nil"/>
              <w:tr2bl w:val="nil"/>
            </w:tcBorders>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其他资金</w:t>
            </w:r>
          </w:p>
        </w:tc>
        <w:tc>
          <w:tcPr>
            <w:tcW w:w="2020" w:type="dxa"/>
            <w:vMerge/>
            <w:tcBorders>
              <w:tl2br w:val="nil"/>
              <w:tr2bl w:val="nil"/>
            </w:tcBorders>
            <w:shd w:val="clear" w:color="auto" w:fill="FFFFFF" w:themeFill="background1"/>
            <w:vAlign w:val="center"/>
          </w:tcPr>
          <w:p w:rsidR="001415A3" w:rsidRDefault="001415A3">
            <w:pPr>
              <w:widowControl/>
              <w:jc w:val="left"/>
              <w:rPr>
                <w:rFonts w:ascii="宋体" w:eastAsia="宋体" w:hAnsi="宋体" w:cs="宋体"/>
                <w:color w:val="000000"/>
                <w:kern w:val="0"/>
                <w:sz w:val="22"/>
              </w:rPr>
            </w:pPr>
          </w:p>
        </w:tc>
      </w:tr>
      <w:tr w:rsidR="001415A3">
        <w:trPr>
          <w:trHeight w:val="308"/>
        </w:trPr>
        <w:tc>
          <w:tcPr>
            <w:tcW w:w="2020" w:type="dxa"/>
            <w:tcBorders>
              <w:tl2br w:val="nil"/>
              <w:tr2bl w:val="nil"/>
            </w:tcBorders>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栏次</w:t>
            </w:r>
          </w:p>
        </w:tc>
        <w:tc>
          <w:tcPr>
            <w:tcW w:w="2360" w:type="dxa"/>
            <w:tcBorders>
              <w:tl2br w:val="nil"/>
              <w:tr2bl w:val="nil"/>
            </w:tcBorders>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2020" w:type="dxa"/>
            <w:tcBorders>
              <w:tl2br w:val="nil"/>
              <w:tr2bl w:val="nil"/>
            </w:tcBorders>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2020" w:type="dxa"/>
            <w:tcBorders>
              <w:tl2br w:val="nil"/>
              <w:tr2bl w:val="nil"/>
            </w:tcBorders>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2020" w:type="dxa"/>
            <w:tcBorders>
              <w:tl2br w:val="nil"/>
              <w:tr2bl w:val="nil"/>
            </w:tcBorders>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2020" w:type="dxa"/>
            <w:tcBorders>
              <w:tl2br w:val="nil"/>
              <w:tr2bl w:val="nil"/>
            </w:tcBorders>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2020" w:type="dxa"/>
            <w:tcBorders>
              <w:tl2br w:val="nil"/>
              <w:tr2bl w:val="nil"/>
            </w:tcBorders>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r>
      <w:tr w:rsidR="001415A3">
        <w:trPr>
          <w:trHeight w:val="308"/>
        </w:trPr>
        <w:tc>
          <w:tcPr>
            <w:tcW w:w="2020" w:type="dxa"/>
            <w:tcBorders>
              <w:tl2br w:val="nil"/>
              <w:tr2bl w:val="nil"/>
            </w:tcBorders>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合</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计</w:t>
            </w:r>
          </w:p>
        </w:tc>
        <w:tc>
          <w:tcPr>
            <w:tcW w:w="2360" w:type="dxa"/>
            <w:tcBorders>
              <w:tl2br w:val="nil"/>
              <w:tr2bl w:val="nil"/>
            </w:tcBorders>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24.57</w:t>
            </w:r>
          </w:p>
        </w:tc>
        <w:tc>
          <w:tcPr>
            <w:tcW w:w="2020" w:type="dxa"/>
            <w:tcBorders>
              <w:tl2br w:val="nil"/>
              <w:tr2bl w:val="nil"/>
            </w:tcBorders>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24.57</w:t>
            </w:r>
          </w:p>
        </w:tc>
        <w:tc>
          <w:tcPr>
            <w:tcW w:w="2020" w:type="dxa"/>
            <w:tcBorders>
              <w:tl2br w:val="nil"/>
              <w:tr2bl w:val="nil"/>
            </w:tcBorders>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24.57</w:t>
            </w:r>
          </w:p>
        </w:tc>
        <w:tc>
          <w:tcPr>
            <w:tcW w:w="2020" w:type="dxa"/>
            <w:tcBorders>
              <w:tl2br w:val="nil"/>
              <w:tr2bl w:val="nil"/>
            </w:tcBorders>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0.00</w:t>
            </w:r>
          </w:p>
        </w:tc>
        <w:tc>
          <w:tcPr>
            <w:tcW w:w="2020" w:type="dxa"/>
            <w:tcBorders>
              <w:tl2br w:val="nil"/>
              <w:tr2bl w:val="nil"/>
            </w:tcBorders>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0.00</w:t>
            </w:r>
          </w:p>
        </w:tc>
        <w:tc>
          <w:tcPr>
            <w:tcW w:w="2020" w:type="dxa"/>
            <w:tcBorders>
              <w:tl2br w:val="nil"/>
              <w:tr2bl w:val="nil"/>
            </w:tcBorders>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0.00</w:t>
            </w:r>
          </w:p>
        </w:tc>
      </w:tr>
      <w:tr w:rsidR="001415A3">
        <w:trPr>
          <w:trHeight w:val="308"/>
        </w:trPr>
        <w:tc>
          <w:tcPr>
            <w:tcW w:w="2020" w:type="dxa"/>
            <w:tcBorders>
              <w:tl2br w:val="nil"/>
              <w:tr2bl w:val="nil"/>
            </w:tcBorders>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货物</w:t>
            </w:r>
          </w:p>
        </w:tc>
        <w:tc>
          <w:tcPr>
            <w:tcW w:w="2360" w:type="dxa"/>
            <w:tcBorders>
              <w:tl2br w:val="nil"/>
              <w:tr2bl w:val="nil"/>
            </w:tcBorders>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24.57</w:t>
            </w:r>
          </w:p>
        </w:tc>
        <w:tc>
          <w:tcPr>
            <w:tcW w:w="2020" w:type="dxa"/>
            <w:tcBorders>
              <w:tl2br w:val="nil"/>
              <w:tr2bl w:val="nil"/>
            </w:tcBorders>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24.57</w:t>
            </w:r>
          </w:p>
        </w:tc>
        <w:tc>
          <w:tcPr>
            <w:tcW w:w="2020" w:type="dxa"/>
            <w:tcBorders>
              <w:tl2br w:val="nil"/>
              <w:tr2bl w:val="nil"/>
            </w:tcBorders>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24.57</w:t>
            </w:r>
          </w:p>
        </w:tc>
        <w:tc>
          <w:tcPr>
            <w:tcW w:w="2020" w:type="dxa"/>
            <w:tcBorders>
              <w:tl2br w:val="nil"/>
              <w:tr2bl w:val="nil"/>
            </w:tcBorders>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0.00</w:t>
            </w:r>
          </w:p>
        </w:tc>
        <w:tc>
          <w:tcPr>
            <w:tcW w:w="2020" w:type="dxa"/>
            <w:tcBorders>
              <w:tl2br w:val="nil"/>
              <w:tr2bl w:val="nil"/>
            </w:tcBorders>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0.00</w:t>
            </w:r>
          </w:p>
        </w:tc>
        <w:tc>
          <w:tcPr>
            <w:tcW w:w="2020" w:type="dxa"/>
            <w:tcBorders>
              <w:tl2br w:val="nil"/>
              <w:tr2bl w:val="nil"/>
            </w:tcBorders>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0.00</w:t>
            </w:r>
          </w:p>
        </w:tc>
      </w:tr>
      <w:tr w:rsidR="001415A3">
        <w:trPr>
          <w:trHeight w:val="308"/>
        </w:trPr>
        <w:tc>
          <w:tcPr>
            <w:tcW w:w="2020" w:type="dxa"/>
            <w:tcBorders>
              <w:tl2br w:val="nil"/>
              <w:tr2bl w:val="nil"/>
            </w:tcBorders>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工程</w:t>
            </w:r>
          </w:p>
        </w:tc>
        <w:tc>
          <w:tcPr>
            <w:tcW w:w="2360" w:type="dxa"/>
            <w:tcBorders>
              <w:tl2br w:val="nil"/>
              <w:tr2bl w:val="nil"/>
            </w:tcBorders>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0.00</w:t>
            </w:r>
          </w:p>
        </w:tc>
        <w:tc>
          <w:tcPr>
            <w:tcW w:w="2020" w:type="dxa"/>
            <w:tcBorders>
              <w:tl2br w:val="nil"/>
              <w:tr2bl w:val="nil"/>
            </w:tcBorders>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0.00</w:t>
            </w:r>
          </w:p>
        </w:tc>
        <w:tc>
          <w:tcPr>
            <w:tcW w:w="2020" w:type="dxa"/>
            <w:tcBorders>
              <w:tl2br w:val="nil"/>
              <w:tr2bl w:val="nil"/>
            </w:tcBorders>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0.00</w:t>
            </w:r>
          </w:p>
        </w:tc>
        <w:tc>
          <w:tcPr>
            <w:tcW w:w="2020" w:type="dxa"/>
            <w:tcBorders>
              <w:tl2br w:val="nil"/>
              <w:tr2bl w:val="nil"/>
            </w:tcBorders>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0.00</w:t>
            </w:r>
          </w:p>
        </w:tc>
        <w:tc>
          <w:tcPr>
            <w:tcW w:w="2020" w:type="dxa"/>
            <w:tcBorders>
              <w:tl2br w:val="nil"/>
              <w:tr2bl w:val="nil"/>
            </w:tcBorders>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0.00</w:t>
            </w:r>
          </w:p>
        </w:tc>
        <w:tc>
          <w:tcPr>
            <w:tcW w:w="2020" w:type="dxa"/>
            <w:tcBorders>
              <w:tl2br w:val="nil"/>
              <w:tr2bl w:val="nil"/>
            </w:tcBorders>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0.00</w:t>
            </w:r>
          </w:p>
        </w:tc>
      </w:tr>
      <w:tr w:rsidR="001415A3">
        <w:trPr>
          <w:trHeight w:val="308"/>
        </w:trPr>
        <w:tc>
          <w:tcPr>
            <w:tcW w:w="2020" w:type="dxa"/>
            <w:tcBorders>
              <w:tl2br w:val="nil"/>
              <w:tr2bl w:val="nil"/>
            </w:tcBorders>
            <w:shd w:val="clear" w:color="auto" w:fill="FFFFFF" w:themeFill="background1"/>
            <w:vAlign w:val="center"/>
          </w:tcPr>
          <w:p w:rsidR="001415A3" w:rsidRDefault="007D27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服务</w:t>
            </w:r>
          </w:p>
        </w:tc>
        <w:tc>
          <w:tcPr>
            <w:tcW w:w="2360" w:type="dxa"/>
            <w:tcBorders>
              <w:tl2br w:val="nil"/>
              <w:tr2bl w:val="nil"/>
            </w:tcBorders>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0.00</w:t>
            </w:r>
          </w:p>
        </w:tc>
        <w:tc>
          <w:tcPr>
            <w:tcW w:w="2020" w:type="dxa"/>
            <w:tcBorders>
              <w:tl2br w:val="nil"/>
              <w:tr2bl w:val="nil"/>
            </w:tcBorders>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0.00</w:t>
            </w:r>
          </w:p>
        </w:tc>
        <w:tc>
          <w:tcPr>
            <w:tcW w:w="2020" w:type="dxa"/>
            <w:tcBorders>
              <w:tl2br w:val="nil"/>
              <w:tr2bl w:val="nil"/>
            </w:tcBorders>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0.00</w:t>
            </w:r>
          </w:p>
        </w:tc>
        <w:tc>
          <w:tcPr>
            <w:tcW w:w="2020" w:type="dxa"/>
            <w:tcBorders>
              <w:tl2br w:val="nil"/>
              <w:tr2bl w:val="nil"/>
            </w:tcBorders>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0.00</w:t>
            </w:r>
          </w:p>
        </w:tc>
        <w:tc>
          <w:tcPr>
            <w:tcW w:w="2020" w:type="dxa"/>
            <w:tcBorders>
              <w:tl2br w:val="nil"/>
              <w:tr2bl w:val="nil"/>
            </w:tcBorders>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0.00</w:t>
            </w:r>
          </w:p>
        </w:tc>
        <w:tc>
          <w:tcPr>
            <w:tcW w:w="2020" w:type="dxa"/>
            <w:tcBorders>
              <w:tl2br w:val="nil"/>
              <w:tr2bl w:val="nil"/>
            </w:tcBorders>
            <w:shd w:val="clear" w:color="auto" w:fill="FFFFFF" w:themeFill="background1"/>
            <w:vAlign w:val="center"/>
          </w:tcPr>
          <w:p w:rsidR="001415A3" w:rsidRDefault="007D2755">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0.00</w:t>
            </w:r>
          </w:p>
        </w:tc>
      </w:tr>
    </w:tbl>
    <w:p w:rsidR="001415A3" w:rsidRDefault="001415A3">
      <w:pPr>
        <w:widowControl/>
        <w:jc w:val="left"/>
        <w:rPr>
          <w:rFonts w:ascii="宋体" w:eastAsia="宋体" w:hAnsi="宋体" w:cs="宋体"/>
          <w:kern w:val="0"/>
          <w:sz w:val="24"/>
          <w:szCs w:val="24"/>
        </w:rPr>
      </w:pPr>
    </w:p>
    <w:p w:rsidR="001415A3" w:rsidRDefault="007D2755">
      <w:pPr>
        <w:autoSpaceDE w:val="0"/>
        <w:autoSpaceDN w:val="0"/>
        <w:adjustRightInd w:val="0"/>
        <w:spacing w:line="600" w:lineRule="exact"/>
        <w:ind w:left="198" w:firstLineChars="200" w:firstLine="640"/>
        <w:jc w:val="left"/>
        <w:rPr>
          <w:rFonts w:ascii="仿宋" w:eastAsia="仿宋" w:hAnsi="仿宋" w:cs="Times New Roman"/>
          <w:bCs/>
          <w:sz w:val="32"/>
          <w:szCs w:val="32"/>
        </w:rPr>
      </w:pPr>
      <w:r>
        <w:rPr>
          <w:rFonts w:ascii="仿宋" w:eastAsia="仿宋" w:hAnsi="仿宋" w:cs="宋体" w:hint="eastAsia"/>
          <w:kern w:val="0"/>
          <w:sz w:val="32"/>
          <w:szCs w:val="32"/>
        </w:rPr>
        <w:t>2016</w:t>
      </w:r>
      <w:r>
        <w:rPr>
          <w:rFonts w:ascii="仿宋" w:eastAsia="仿宋" w:hAnsi="仿宋" w:cs="宋体" w:hint="eastAsia"/>
          <w:kern w:val="0"/>
          <w:sz w:val="32"/>
          <w:szCs w:val="32"/>
        </w:rPr>
        <w:t>年本部门政府支出总额</w:t>
      </w:r>
      <w:r>
        <w:rPr>
          <w:rFonts w:ascii="仿宋" w:eastAsia="仿宋" w:hAnsi="仿宋" w:cs="宋体" w:hint="eastAsia"/>
          <w:kern w:val="0"/>
          <w:sz w:val="32"/>
          <w:szCs w:val="32"/>
        </w:rPr>
        <w:t>24.57</w:t>
      </w:r>
      <w:r>
        <w:rPr>
          <w:rFonts w:ascii="仿宋" w:eastAsia="仿宋" w:hAnsi="仿宋" w:cs="宋体" w:hint="eastAsia"/>
          <w:kern w:val="0"/>
          <w:sz w:val="32"/>
          <w:szCs w:val="32"/>
        </w:rPr>
        <w:t>万元，政府采购货物支出</w:t>
      </w:r>
      <w:r>
        <w:rPr>
          <w:rFonts w:ascii="仿宋" w:eastAsia="仿宋" w:hAnsi="仿宋" w:cs="宋体" w:hint="eastAsia"/>
          <w:kern w:val="0"/>
          <w:sz w:val="32"/>
          <w:szCs w:val="32"/>
        </w:rPr>
        <w:t>24.57</w:t>
      </w:r>
      <w:r>
        <w:rPr>
          <w:rFonts w:ascii="仿宋" w:eastAsia="仿宋" w:hAnsi="仿宋" w:cs="宋体" w:hint="eastAsia"/>
          <w:kern w:val="0"/>
          <w:sz w:val="32"/>
          <w:szCs w:val="32"/>
        </w:rPr>
        <w:t>万元</w:t>
      </w:r>
      <w:r w:rsidR="004762A4">
        <w:rPr>
          <w:rFonts w:ascii="仿宋" w:eastAsia="仿宋" w:hAnsi="仿宋" w:cs="宋体" w:hint="eastAsia"/>
          <w:kern w:val="0"/>
          <w:sz w:val="32"/>
          <w:szCs w:val="32"/>
        </w:rPr>
        <w:t>（其中电脑打印机一体机电视机电话机PC机短信猫等合计78615元；办公家具一批25370元；数字城管霸州生活APP系统软件141715元’）</w:t>
      </w:r>
      <w:r>
        <w:rPr>
          <w:rFonts w:ascii="仿宋" w:eastAsia="仿宋" w:hAnsi="仿宋" w:cs="宋体" w:hint="eastAsia"/>
          <w:kern w:val="0"/>
          <w:sz w:val="32"/>
          <w:szCs w:val="32"/>
        </w:rPr>
        <w:t>、政府采购工程支出</w:t>
      </w:r>
      <w:r>
        <w:rPr>
          <w:rFonts w:ascii="仿宋" w:eastAsia="仿宋" w:hAnsi="仿宋" w:cs="宋体" w:hint="eastAsia"/>
          <w:kern w:val="0"/>
          <w:sz w:val="32"/>
          <w:szCs w:val="32"/>
        </w:rPr>
        <w:t>0</w:t>
      </w:r>
      <w:r>
        <w:rPr>
          <w:rFonts w:ascii="仿宋" w:eastAsia="仿宋" w:hAnsi="仿宋" w:cs="宋体" w:hint="eastAsia"/>
          <w:kern w:val="0"/>
          <w:sz w:val="32"/>
          <w:szCs w:val="32"/>
        </w:rPr>
        <w:t>万元、政府采购服务支出</w:t>
      </w:r>
      <w:r>
        <w:rPr>
          <w:rFonts w:ascii="仿宋" w:eastAsia="仿宋" w:hAnsi="仿宋" w:cs="宋体" w:hint="eastAsia"/>
          <w:kern w:val="0"/>
          <w:sz w:val="32"/>
          <w:szCs w:val="32"/>
        </w:rPr>
        <w:t>0</w:t>
      </w:r>
      <w:r>
        <w:rPr>
          <w:rFonts w:ascii="仿宋" w:eastAsia="仿宋" w:hAnsi="仿宋" w:cs="宋体" w:hint="eastAsia"/>
          <w:kern w:val="0"/>
          <w:sz w:val="32"/>
          <w:szCs w:val="32"/>
        </w:rPr>
        <w:t>万元。</w:t>
      </w:r>
    </w:p>
    <w:p w:rsidR="001415A3" w:rsidRDefault="007D2755">
      <w:pPr>
        <w:autoSpaceDE w:val="0"/>
        <w:autoSpaceDN w:val="0"/>
        <w:adjustRightInd w:val="0"/>
        <w:spacing w:line="600" w:lineRule="exact"/>
        <w:ind w:left="198" w:firstLineChars="200" w:firstLine="643"/>
        <w:jc w:val="left"/>
        <w:rPr>
          <w:rFonts w:ascii="楷体" w:eastAsia="楷体" w:hAnsi="楷体" w:cs="Times New Roman"/>
          <w:b/>
          <w:bCs/>
          <w:sz w:val="32"/>
          <w:szCs w:val="32"/>
        </w:rPr>
      </w:pPr>
      <w:r>
        <w:rPr>
          <w:rFonts w:ascii="楷体" w:eastAsia="楷体" w:hAnsi="楷体" w:cs="Times New Roman" w:hint="eastAsia"/>
          <w:b/>
          <w:bCs/>
          <w:sz w:val="32"/>
          <w:szCs w:val="32"/>
        </w:rPr>
        <w:t>（九）国有资产信息</w:t>
      </w:r>
    </w:p>
    <w:p w:rsidR="001415A3" w:rsidRDefault="007D2755">
      <w:pPr>
        <w:pStyle w:val="a5"/>
        <w:spacing w:before="0" w:beforeAutospacing="0" w:after="0" w:afterAutospacing="0"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本年末共有国有资产总额</w:t>
      </w:r>
      <w:r>
        <w:rPr>
          <w:rFonts w:ascii="仿宋" w:eastAsia="仿宋" w:hAnsi="仿宋" w:hint="eastAsia"/>
          <w:color w:val="000000"/>
          <w:sz w:val="32"/>
          <w:szCs w:val="32"/>
        </w:rPr>
        <w:t>1219.17</w:t>
      </w:r>
      <w:r>
        <w:rPr>
          <w:rFonts w:ascii="仿宋" w:eastAsia="仿宋" w:hAnsi="仿宋" w:hint="eastAsia"/>
          <w:color w:val="000000"/>
          <w:sz w:val="32"/>
          <w:szCs w:val="32"/>
        </w:rPr>
        <w:t>万元，其中交通设备</w:t>
      </w:r>
      <w:r>
        <w:rPr>
          <w:rFonts w:ascii="仿宋" w:eastAsia="仿宋" w:hAnsi="仿宋" w:hint="eastAsia"/>
          <w:color w:val="000000"/>
          <w:sz w:val="32"/>
          <w:szCs w:val="32"/>
        </w:rPr>
        <w:t>482.57</w:t>
      </w:r>
      <w:r>
        <w:rPr>
          <w:rFonts w:ascii="仿宋" w:eastAsia="仿宋" w:hAnsi="仿宋" w:hint="eastAsia"/>
          <w:color w:val="000000"/>
          <w:sz w:val="32"/>
          <w:szCs w:val="32"/>
        </w:rPr>
        <w:t>万元；其他设备</w:t>
      </w:r>
      <w:r>
        <w:rPr>
          <w:rFonts w:ascii="仿宋" w:eastAsia="仿宋" w:hAnsi="仿宋" w:hint="eastAsia"/>
          <w:color w:val="000000"/>
          <w:sz w:val="32"/>
          <w:szCs w:val="32"/>
        </w:rPr>
        <w:t>208.12</w:t>
      </w:r>
      <w:r>
        <w:rPr>
          <w:rFonts w:ascii="仿宋" w:eastAsia="仿宋" w:hAnsi="仿宋" w:hint="eastAsia"/>
          <w:color w:val="000000"/>
          <w:sz w:val="32"/>
          <w:szCs w:val="32"/>
        </w:rPr>
        <w:t>万元；流动资产</w:t>
      </w:r>
      <w:r>
        <w:rPr>
          <w:rFonts w:ascii="仿宋" w:eastAsia="仿宋" w:hAnsi="仿宋" w:hint="eastAsia"/>
          <w:color w:val="000000"/>
          <w:sz w:val="32"/>
          <w:szCs w:val="32"/>
        </w:rPr>
        <w:t>432.3</w:t>
      </w:r>
      <w:r>
        <w:rPr>
          <w:rFonts w:ascii="仿宋" w:eastAsia="仿宋" w:hAnsi="仿宋" w:hint="eastAsia"/>
          <w:color w:val="000000"/>
          <w:sz w:val="32"/>
          <w:szCs w:val="32"/>
        </w:rPr>
        <w:t>万元；无形资产</w:t>
      </w:r>
      <w:r>
        <w:rPr>
          <w:rFonts w:ascii="仿宋" w:eastAsia="仿宋" w:hAnsi="仿宋" w:hint="eastAsia"/>
          <w:color w:val="000000"/>
          <w:sz w:val="32"/>
          <w:szCs w:val="32"/>
        </w:rPr>
        <w:t>96.18</w:t>
      </w:r>
      <w:r>
        <w:rPr>
          <w:rFonts w:ascii="仿宋" w:eastAsia="仿宋" w:hAnsi="仿宋" w:hint="eastAsia"/>
          <w:color w:val="000000"/>
          <w:sz w:val="32"/>
          <w:szCs w:val="32"/>
        </w:rPr>
        <w:t>万元。</w:t>
      </w:r>
    </w:p>
    <w:p w:rsidR="001415A3" w:rsidRDefault="007D2755">
      <w:pPr>
        <w:pStyle w:val="a5"/>
        <w:spacing w:before="0" w:beforeAutospacing="0" w:after="0" w:afterAutospacing="0"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截止</w:t>
      </w:r>
      <w:r>
        <w:rPr>
          <w:rFonts w:ascii="仿宋" w:eastAsia="仿宋" w:hAnsi="仿宋" w:hint="eastAsia"/>
          <w:color w:val="000000"/>
          <w:sz w:val="32"/>
          <w:szCs w:val="32"/>
        </w:rPr>
        <w:t>2016</w:t>
      </w:r>
      <w:r>
        <w:rPr>
          <w:rFonts w:ascii="仿宋" w:eastAsia="仿宋" w:hAnsi="仿宋" w:hint="eastAsia"/>
          <w:color w:val="000000"/>
          <w:sz w:val="32"/>
          <w:szCs w:val="32"/>
        </w:rPr>
        <w:t>年</w:t>
      </w:r>
      <w:r>
        <w:rPr>
          <w:rFonts w:ascii="仿宋" w:eastAsia="仿宋" w:hAnsi="仿宋" w:hint="eastAsia"/>
          <w:color w:val="000000"/>
          <w:sz w:val="32"/>
          <w:szCs w:val="32"/>
        </w:rPr>
        <w:t>12</w:t>
      </w:r>
      <w:r>
        <w:rPr>
          <w:rFonts w:ascii="仿宋" w:eastAsia="仿宋" w:hAnsi="仿宋" w:hint="eastAsia"/>
          <w:color w:val="000000"/>
          <w:sz w:val="32"/>
          <w:szCs w:val="32"/>
        </w:rPr>
        <w:t>月</w:t>
      </w:r>
      <w:r>
        <w:rPr>
          <w:rFonts w:ascii="仿宋" w:eastAsia="仿宋" w:hAnsi="仿宋" w:hint="eastAsia"/>
          <w:color w:val="000000"/>
          <w:sz w:val="32"/>
          <w:szCs w:val="32"/>
        </w:rPr>
        <w:t>31</w:t>
      </w:r>
      <w:r>
        <w:rPr>
          <w:rFonts w:ascii="仿宋" w:eastAsia="仿宋" w:hAnsi="仿宋" w:hint="eastAsia"/>
          <w:color w:val="000000"/>
          <w:sz w:val="32"/>
          <w:szCs w:val="32"/>
        </w:rPr>
        <w:t>日，本部门共有车辆</w:t>
      </w:r>
      <w:r>
        <w:rPr>
          <w:rFonts w:ascii="仿宋" w:eastAsia="仿宋" w:hAnsi="仿宋" w:hint="eastAsia"/>
          <w:color w:val="000000"/>
          <w:sz w:val="32"/>
          <w:szCs w:val="32"/>
        </w:rPr>
        <w:t>65</w:t>
      </w:r>
      <w:r>
        <w:rPr>
          <w:rFonts w:ascii="仿宋" w:eastAsia="仿宋" w:hAnsi="仿宋" w:hint="eastAsia"/>
          <w:color w:val="000000"/>
          <w:sz w:val="32"/>
          <w:szCs w:val="32"/>
        </w:rPr>
        <w:t>辆，其中一般公务用车</w:t>
      </w:r>
      <w:r>
        <w:rPr>
          <w:rFonts w:ascii="仿宋" w:eastAsia="仿宋" w:hAnsi="仿宋" w:hint="eastAsia"/>
          <w:color w:val="000000"/>
          <w:sz w:val="32"/>
          <w:szCs w:val="32"/>
        </w:rPr>
        <w:t>8</w:t>
      </w:r>
      <w:r>
        <w:rPr>
          <w:rFonts w:ascii="仿宋" w:eastAsia="仿宋" w:hAnsi="仿宋" w:hint="eastAsia"/>
          <w:color w:val="000000"/>
          <w:sz w:val="32"/>
          <w:szCs w:val="32"/>
        </w:rPr>
        <w:t>辆、一般执法执勤用车</w:t>
      </w:r>
      <w:r>
        <w:rPr>
          <w:rFonts w:ascii="仿宋" w:eastAsia="仿宋" w:hAnsi="仿宋" w:hint="eastAsia"/>
          <w:color w:val="000000"/>
          <w:sz w:val="32"/>
          <w:szCs w:val="32"/>
        </w:rPr>
        <w:t>57</w:t>
      </w:r>
      <w:r>
        <w:rPr>
          <w:rFonts w:ascii="仿宋" w:eastAsia="仿宋" w:hAnsi="仿宋" w:hint="eastAsia"/>
          <w:color w:val="000000"/>
          <w:sz w:val="32"/>
          <w:szCs w:val="32"/>
        </w:rPr>
        <w:t>辆；单位价值</w:t>
      </w:r>
      <w:r>
        <w:rPr>
          <w:rFonts w:ascii="仿宋" w:eastAsia="仿宋" w:hAnsi="仿宋" w:hint="eastAsia"/>
          <w:color w:val="000000"/>
          <w:sz w:val="32"/>
          <w:szCs w:val="32"/>
        </w:rPr>
        <w:t>50</w:t>
      </w:r>
      <w:r>
        <w:rPr>
          <w:rFonts w:ascii="仿宋" w:eastAsia="仿宋" w:hAnsi="仿宋" w:hint="eastAsia"/>
          <w:color w:val="000000"/>
          <w:sz w:val="32"/>
          <w:szCs w:val="32"/>
        </w:rPr>
        <w:t>万元以上大型设备</w:t>
      </w:r>
      <w:r>
        <w:rPr>
          <w:rFonts w:ascii="仿宋" w:eastAsia="仿宋" w:hAnsi="仿宋" w:hint="eastAsia"/>
          <w:color w:val="000000"/>
          <w:sz w:val="32"/>
          <w:szCs w:val="32"/>
        </w:rPr>
        <w:t>0</w:t>
      </w:r>
      <w:r>
        <w:rPr>
          <w:rFonts w:ascii="仿宋" w:eastAsia="仿宋" w:hAnsi="仿宋" w:hint="eastAsia"/>
          <w:color w:val="000000"/>
          <w:sz w:val="32"/>
          <w:szCs w:val="32"/>
        </w:rPr>
        <w:t>台（套），单位价值</w:t>
      </w:r>
      <w:r>
        <w:rPr>
          <w:rFonts w:ascii="仿宋" w:eastAsia="仿宋" w:hAnsi="仿宋" w:hint="eastAsia"/>
          <w:color w:val="000000"/>
          <w:sz w:val="32"/>
          <w:szCs w:val="32"/>
        </w:rPr>
        <w:t>100</w:t>
      </w:r>
      <w:r>
        <w:rPr>
          <w:rFonts w:ascii="仿宋" w:eastAsia="仿宋" w:hAnsi="仿宋" w:hint="eastAsia"/>
          <w:color w:val="000000"/>
          <w:sz w:val="32"/>
          <w:szCs w:val="32"/>
        </w:rPr>
        <w:t>万元以上大型设备</w:t>
      </w:r>
      <w:r>
        <w:rPr>
          <w:rFonts w:ascii="仿宋" w:eastAsia="仿宋" w:hAnsi="仿宋" w:hint="eastAsia"/>
          <w:color w:val="000000"/>
          <w:sz w:val="32"/>
          <w:szCs w:val="32"/>
        </w:rPr>
        <w:t>0</w:t>
      </w:r>
      <w:r>
        <w:rPr>
          <w:rFonts w:ascii="仿宋" w:eastAsia="仿宋" w:hAnsi="仿宋" w:hint="eastAsia"/>
          <w:color w:val="000000"/>
          <w:sz w:val="32"/>
          <w:szCs w:val="32"/>
        </w:rPr>
        <w:t>台（套）。</w:t>
      </w:r>
      <w:r>
        <w:rPr>
          <w:rFonts w:ascii="仿宋" w:eastAsia="仿宋" w:hAnsi="仿宋"/>
          <w:color w:val="000000"/>
          <w:sz w:val="32"/>
          <w:szCs w:val="32"/>
        </w:rPr>
        <w:t xml:space="preserve"> </w:t>
      </w:r>
      <w:r>
        <w:rPr>
          <w:rFonts w:ascii="仿宋" w:eastAsia="仿宋" w:hAnsi="仿宋"/>
          <w:color w:val="000000"/>
          <w:sz w:val="32"/>
          <w:szCs w:val="32"/>
        </w:rPr>
        <w:t>（</w:t>
      </w:r>
      <w:r>
        <w:rPr>
          <w:rFonts w:ascii="仿宋" w:eastAsia="仿宋" w:hAnsi="仿宋" w:hint="eastAsia"/>
          <w:color w:val="000000"/>
          <w:sz w:val="32"/>
          <w:szCs w:val="32"/>
        </w:rPr>
        <w:t>1</w:t>
      </w:r>
      <w:r>
        <w:rPr>
          <w:rFonts w:ascii="仿宋" w:eastAsia="仿宋" w:hAnsi="仿宋" w:hint="eastAsia"/>
          <w:color w:val="000000"/>
          <w:sz w:val="32"/>
          <w:szCs w:val="32"/>
        </w:rPr>
        <w:t>、交通设备同</w:t>
      </w:r>
      <w:r>
        <w:rPr>
          <w:rFonts w:ascii="仿宋" w:eastAsia="仿宋" w:hAnsi="仿宋" w:hint="eastAsia"/>
          <w:color w:val="000000"/>
          <w:sz w:val="32"/>
          <w:szCs w:val="32"/>
        </w:rPr>
        <w:t>2015</w:t>
      </w:r>
      <w:r>
        <w:rPr>
          <w:rFonts w:ascii="仿宋" w:eastAsia="仿宋" w:hAnsi="仿宋" w:hint="eastAsia"/>
          <w:color w:val="000000"/>
          <w:sz w:val="32"/>
          <w:szCs w:val="32"/>
        </w:rPr>
        <w:t>年相比减少</w:t>
      </w:r>
      <w:r>
        <w:rPr>
          <w:rFonts w:ascii="仿宋" w:eastAsia="仿宋" w:hAnsi="仿宋" w:hint="eastAsia"/>
          <w:color w:val="000000"/>
          <w:sz w:val="32"/>
          <w:szCs w:val="32"/>
        </w:rPr>
        <w:t>53.12</w:t>
      </w:r>
      <w:r>
        <w:rPr>
          <w:rFonts w:ascii="仿宋" w:eastAsia="仿宋" w:hAnsi="仿宋" w:hint="eastAsia"/>
          <w:color w:val="000000"/>
          <w:sz w:val="32"/>
          <w:szCs w:val="32"/>
        </w:rPr>
        <w:t>万元；减少原因为公开拍卖了</w:t>
      </w:r>
      <w:r>
        <w:rPr>
          <w:rFonts w:ascii="仿宋" w:eastAsia="仿宋" w:hAnsi="仿宋" w:hint="eastAsia"/>
          <w:color w:val="000000"/>
          <w:sz w:val="32"/>
          <w:szCs w:val="32"/>
        </w:rPr>
        <w:t>10</w:t>
      </w:r>
      <w:r>
        <w:rPr>
          <w:rFonts w:ascii="仿宋" w:eastAsia="仿宋" w:hAnsi="仿宋" w:hint="eastAsia"/>
          <w:color w:val="000000"/>
          <w:sz w:val="32"/>
          <w:szCs w:val="32"/>
        </w:rPr>
        <w:t>辆老化、陈旧车辆</w:t>
      </w:r>
      <w:r>
        <w:rPr>
          <w:rFonts w:ascii="仿宋" w:eastAsia="仿宋" w:hAnsi="仿宋" w:hint="eastAsia"/>
          <w:color w:val="000000"/>
          <w:sz w:val="32"/>
          <w:szCs w:val="32"/>
        </w:rPr>
        <w:t>2</w:t>
      </w:r>
      <w:r>
        <w:rPr>
          <w:rFonts w:ascii="仿宋" w:eastAsia="仿宋" w:hAnsi="仿宋" w:hint="eastAsia"/>
          <w:color w:val="000000"/>
          <w:sz w:val="32"/>
          <w:szCs w:val="32"/>
        </w:rPr>
        <w:t>、其他设备同</w:t>
      </w:r>
      <w:r>
        <w:rPr>
          <w:rFonts w:ascii="仿宋" w:eastAsia="仿宋" w:hAnsi="仿宋" w:hint="eastAsia"/>
          <w:color w:val="000000"/>
          <w:sz w:val="32"/>
          <w:szCs w:val="32"/>
        </w:rPr>
        <w:t>2015</w:t>
      </w:r>
      <w:r>
        <w:rPr>
          <w:rFonts w:ascii="仿宋" w:eastAsia="仿宋" w:hAnsi="仿宋" w:hint="eastAsia"/>
          <w:color w:val="000000"/>
          <w:sz w:val="32"/>
          <w:szCs w:val="32"/>
        </w:rPr>
        <w:t>年相比增加了</w:t>
      </w:r>
      <w:r>
        <w:rPr>
          <w:rFonts w:ascii="仿宋" w:eastAsia="仿宋" w:hAnsi="仿宋" w:hint="eastAsia"/>
          <w:color w:val="000000"/>
          <w:sz w:val="32"/>
          <w:szCs w:val="32"/>
        </w:rPr>
        <w:t>14.43</w:t>
      </w:r>
      <w:r>
        <w:rPr>
          <w:rFonts w:ascii="仿宋" w:eastAsia="仿宋" w:hAnsi="仿宋" w:hint="eastAsia"/>
          <w:color w:val="000000"/>
          <w:sz w:val="32"/>
          <w:szCs w:val="32"/>
        </w:rPr>
        <w:t>万元；增加原因为因工作需要购买了部分办公设备及家具</w:t>
      </w:r>
      <w:r>
        <w:rPr>
          <w:rFonts w:ascii="仿宋" w:eastAsia="仿宋" w:hAnsi="仿宋" w:hint="eastAsia"/>
          <w:color w:val="000000"/>
          <w:sz w:val="32"/>
          <w:szCs w:val="32"/>
        </w:rPr>
        <w:t>3</w:t>
      </w:r>
      <w:r>
        <w:rPr>
          <w:rFonts w:ascii="仿宋" w:eastAsia="仿宋" w:hAnsi="仿宋" w:hint="eastAsia"/>
          <w:color w:val="000000"/>
          <w:sz w:val="32"/>
          <w:szCs w:val="32"/>
        </w:rPr>
        <w:t>、无形资产同</w:t>
      </w:r>
      <w:r>
        <w:rPr>
          <w:rFonts w:ascii="仿宋" w:eastAsia="仿宋" w:hAnsi="仿宋" w:hint="eastAsia"/>
          <w:color w:val="000000"/>
          <w:sz w:val="32"/>
          <w:szCs w:val="32"/>
        </w:rPr>
        <w:t>2015</w:t>
      </w:r>
      <w:r>
        <w:rPr>
          <w:rFonts w:ascii="仿宋" w:eastAsia="仿宋" w:hAnsi="仿宋" w:hint="eastAsia"/>
          <w:color w:val="000000"/>
          <w:sz w:val="32"/>
          <w:szCs w:val="32"/>
        </w:rPr>
        <w:t>年相比增加了</w:t>
      </w:r>
      <w:r>
        <w:rPr>
          <w:rFonts w:ascii="仿宋" w:eastAsia="仿宋" w:hAnsi="仿宋" w:hint="eastAsia"/>
          <w:color w:val="000000"/>
          <w:sz w:val="32"/>
          <w:szCs w:val="32"/>
        </w:rPr>
        <w:t>95.4</w:t>
      </w:r>
      <w:r>
        <w:rPr>
          <w:rFonts w:ascii="仿宋" w:eastAsia="仿宋" w:hAnsi="仿宋" w:hint="eastAsia"/>
          <w:color w:val="000000"/>
          <w:sz w:val="32"/>
          <w:szCs w:val="32"/>
        </w:rPr>
        <w:t>万元；增加原因为因工作需要购置“霸州生活”</w:t>
      </w:r>
      <w:r>
        <w:rPr>
          <w:rFonts w:ascii="仿宋" w:eastAsia="仿宋" w:hAnsi="仿宋" w:hint="eastAsia"/>
          <w:color w:val="000000"/>
          <w:sz w:val="32"/>
          <w:szCs w:val="32"/>
        </w:rPr>
        <w:t>APP</w:t>
      </w:r>
      <w:r>
        <w:rPr>
          <w:rFonts w:ascii="仿宋" w:eastAsia="仿宋" w:hAnsi="仿宋" w:hint="eastAsia"/>
          <w:color w:val="000000"/>
          <w:sz w:val="32"/>
          <w:szCs w:val="32"/>
        </w:rPr>
        <w:t>系统软件系统</w:t>
      </w:r>
      <w:r>
        <w:rPr>
          <w:rFonts w:ascii="仿宋" w:eastAsia="仿宋" w:hAnsi="仿宋"/>
          <w:color w:val="000000"/>
          <w:sz w:val="32"/>
          <w:szCs w:val="32"/>
        </w:rPr>
        <w:t>）</w:t>
      </w:r>
    </w:p>
    <w:tbl>
      <w:tblPr>
        <w:tblW w:w="13420" w:type="dxa"/>
        <w:tblInd w:w="93" w:type="dxa"/>
        <w:tblLayout w:type="fixed"/>
        <w:tblLook w:val="04A0"/>
      </w:tblPr>
      <w:tblGrid>
        <w:gridCol w:w="5200"/>
        <w:gridCol w:w="3140"/>
        <w:gridCol w:w="5080"/>
      </w:tblGrid>
      <w:tr w:rsidR="001415A3">
        <w:trPr>
          <w:trHeight w:val="90"/>
        </w:trPr>
        <w:tc>
          <w:tcPr>
            <w:tcW w:w="13420" w:type="dxa"/>
            <w:gridSpan w:val="3"/>
            <w:tcBorders>
              <w:top w:val="nil"/>
              <w:left w:val="nil"/>
              <w:bottom w:val="nil"/>
              <w:right w:val="nil"/>
            </w:tcBorders>
            <w:shd w:val="clear" w:color="auto" w:fill="auto"/>
            <w:vAlign w:val="center"/>
          </w:tcPr>
          <w:p w:rsidR="001415A3" w:rsidRDefault="001415A3">
            <w:pPr>
              <w:widowControl/>
              <w:jc w:val="center"/>
              <w:rPr>
                <w:rFonts w:ascii="方正仿宋_GBK" w:eastAsia="方正仿宋_GBK" w:hAnsiTheme="majorEastAsia" w:cs="宋体"/>
                <w:b/>
                <w:bCs/>
                <w:kern w:val="0"/>
                <w:sz w:val="32"/>
                <w:szCs w:val="32"/>
              </w:rPr>
            </w:pPr>
          </w:p>
          <w:p w:rsidR="001415A3" w:rsidRDefault="007D2755">
            <w:pPr>
              <w:widowControl/>
              <w:jc w:val="center"/>
              <w:rPr>
                <w:rFonts w:ascii="方正仿宋_GBK" w:eastAsia="方正仿宋_GBK" w:hAnsiTheme="majorEastAsia" w:cs="宋体"/>
                <w:b/>
                <w:bCs/>
                <w:kern w:val="0"/>
                <w:sz w:val="32"/>
                <w:szCs w:val="32"/>
              </w:rPr>
            </w:pPr>
            <w:r>
              <w:rPr>
                <w:rFonts w:ascii="方正仿宋_GBK" w:eastAsia="方正仿宋_GBK" w:hAnsiTheme="majorEastAsia" w:cs="宋体" w:hint="eastAsia"/>
                <w:b/>
                <w:bCs/>
                <w:kern w:val="0"/>
                <w:sz w:val="32"/>
                <w:szCs w:val="32"/>
              </w:rPr>
              <w:t>霸州市</w:t>
            </w:r>
            <w:r>
              <w:rPr>
                <w:rFonts w:ascii="方正仿宋_GBK" w:eastAsia="方正仿宋_GBK" w:hAnsiTheme="majorEastAsia" w:cs="宋体" w:hint="eastAsia"/>
                <w:b/>
                <w:bCs/>
                <w:kern w:val="0"/>
                <w:sz w:val="32"/>
                <w:szCs w:val="32"/>
              </w:rPr>
              <w:t>城市管理行政执法局</w:t>
            </w:r>
            <w:r>
              <w:rPr>
                <w:rFonts w:ascii="方正仿宋_GBK" w:eastAsia="方正仿宋_GBK" w:hAnsiTheme="majorEastAsia" w:cs="宋体" w:hint="eastAsia"/>
                <w:b/>
                <w:bCs/>
                <w:kern w:val="0"/>
                <w:sz w:val="32"/>
                <w:szCs w:val="32"/>
              </w:rPr>
              <w:t>固定资产占用情况表</w:t>
            </w:r>
          </w:p>
        </w:tc>
      </w:tr>
      <w:tr w:rsidR="001415A3">
        <w:trPr>
          <w:trHeight w:val="90"/>
        </w:trPr>
        <w:tc>
          <w:tcPr>
            <w:tcW w:w="8340" w:type="dxa"/>
            <w:gridSpan w:val="2"/>
            <w:tcBorders>
              <w:top w:val="nil"/>
              <w:left w:val="nil"/>
              <w:bottom w:val="single" w:sz="4" w:space="0" w:color="auto"/>
              <w:right w:val="nil"/>
            </w:tcBorders>
            <w:shd w:val="clear" w:color="auto" w:fill="auto"/>
            <w:vAlign w:val="center"/>
          </w:tcPr>
          <w:p w:rsidR="001415A3" w:rsidRDefault="007D2755">
            <w:pPr>
              <w:widowControl/>
              <w:jc w:val="left"/>
              <w:rPr>
                <w:rFonts w:ascii="方正仿宋_GBK" w:eastAsia="方正仿宋_GBK" w:hAnsiTheme="majorEastAsia" w:cs="宋体"/>
                <w:kern w:val="0"/>
                <w:sz w:val="22"/>
              </w:rPr>
            </w:pPr>
            <w:r>
              <w:rPr>
                <w:rFonts w:ascii="方正仿宋_GBK" w:eastAsia="方正仿宋_GBK" w:hAnsiTheme="majorEastAsia" w:cs="宋体" w:hint="eastAsia"/>
                <w:kern w:val="0"/>
                <w:sz w:val="22"/>
              </w:rPr>
              <w:t>编制部门：</w:t>
            </w:r>
            <w:r>
              <w:rPr>
                <w:rFonts w:ascii="方正仿宋_GBK" w:eastAsia="方正仿宋_GBK" w:hAnsiTheme="majorEastAsia" w:cs="宋体" w:hint="eastAsia"/>
                <w:kern w:val="0"/>
                <w:sz w:val="22"/>
              </w:rPr>
              <w:t>814</w:t>
            </w:r>
            <w:r>
              <w:rPr>
                <w:rFonts w:ascii="方正仿宋_GBK" w:eastAsia="方正仿宋_GBK" w:hAnsiTheme="majorEastAsia" w:cs="宋体" w:hint="eastAsia"/>
                <w:kern w:val="0"/>
                <w:sz w:val="22"/>
              </w:rPr>
              <w:t>霸州市城市管理行政执法局</w:t>
            </w:r>
          </w:p>
        </w:tc>
        <w:tc>
          <w:tcPr>
            <w:tcW w:w="5080" w:type="dxa"/>
            <w:tcBorders>
              <w:top w:val="nil"/>
              <w:left w:val="nil"/>
              <w:bottom w:val="single" w:sz="4" w:space="0" w:color="auto"/>
              <w:right w:val="nil"/>
            </w:tcBorders>
            <w:shd w:val="clear" w:color="auto" w:fill="auto"/>
            <w:vAlign w:val="center"/>
          </w:tcPr>
          <w:p w:rsidR="001415A3" w:rsidRDefault="007D2755">
            <w:pPr>
              <w:widowControl/>
              <w:jc w:val="left"/>
              <w:rPr>
                <w:rFonts w:ascii="方正仿宋_GBK" w:eastAsia="方正仿宋_GBK" w:hAnsiTheme="majorEastAsia" w:cs="宋体"/>
                <w:kern w:val="0"/>
                <w:sz w:val="22"/>
              </w:rPr>
            </w:pPr>
            <w:r>
              <w:rPr>
                <w:rFonts w:ascii="方正仿宋_GBK" w:eastAsia="方正仿宋_GBK" w:hAnsiTheme="majorEastAsia" w:cs="宋体" w:hint="eastAsia"/>
                <w:kern w:val="0"/>
                <w:sz w:val="22"/>
              </w:rPr>
              <w:t>截止时间：</w:t>
            </w:r>
            <w:r>
              <w:rPr>
                <w:rFonts w:ascii="方正仿宋_GBK" w:eastAsia="方正仿宋_GBK" w:hAnsiTheme="majorEastAsia" w:cs="宋体" w:hint="eastAsia"/>
                <w:kern w:val="0"/>
                <w:sz w:val="22"/>
              </w:rPr>
              <w:t>2016</w:t>
            </w:r>
            <w:r>
              <w:rPr>
                <w:rFonts w:ascii="方正仿宋_GBK" w:eastAsia="方正仿宋_GBK" w:hAnsiTheme="majorEastAsia" w:cs="宋体" w:hint="eastAsia"/>
                <w:kern w:val="0"/>
                <w:sz w:val="22"/>
              </w:rPr>
              <w:t>年</w:t>
            </w:r>
            <w:r>
              <w:rPr>
                <w:rFonts w:ascii="方正仿宋_GBK" w:eastAsia="方正仿宋_GBK" w:hAnsiTheme="majorEastAsia" w:cs="宋体" w:hint="eastAsia"/>
                <w:kern w:val="0"/>
                <w:sz w:val="22"/>
              </w:rPr>
              <w:t>12</w:t>
            </w:r>
            <w:r>
              <w:rPr>
                <w:rFonts w:ascii="方正仿宋_GBK" w:eastAsia="方正仿宋_GBK" w:hAnsiTheme="majorEastAsia" w:cs="宋体" w:hint="eastAsia"/>
                <w:kern w:val="0"/>
                <w:sz w:val="22"/>
              </w:rPr>
              <w:t>月</w:t>
            </w:r>
            <w:r>
              <w:rPr>
                <w:rFonts w:ascii="方正仿宋_GBK" w:eastAsia="方正仿宋_GBK" w:hAnsiTheme="majorEastAsia" w:cs="宋体" w:hint="eastAsia"/>
                <w:kern w:val="0"/>
                <w:sz w:val="22"/>
              </w:rPr>
              <w:t>31</w:t>
            </w:r>
            <w:r>
              <w:rPr>
                <w:rFonts w:ascii="方正仿宋_GBK" w:eastAsia="方正仿宋_GBK" w:hAnsiTheme="majorEastAsia" w:cs="宋体" w:hint="eastAsia"/>
                <w:kern w:val="0"/>
                <w:sz w:val="22"/>
              </w:rPr>
              <w:t>日</w:t>
            </w:r>
            <w:r>
              <w:rPr>
                <w:rFonts w:ascii="方正仿宋_GBK" w:eastAsia="方正仿宋_GBK" w:hAnsiTheme="majorEastAsia" w:cs="宋体" w:hint="eastAsia"/>
                <w:kern w:val="0"/>
                <w:sz w:val="22"/>
              </w:rPr>
              <w:t xml:space="preserve">  </w:t>
            </w:r>
          </w:p>
        </w:tc>
      </w:tr>
      <w:tr w:rsidR="001415A3">
        <w:trPr>
          <w:trHeight w:val="9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1415A3" w:rsidRDefault="007D2755">
            <w:pPr>
              <w:widowControl/>
              <w:jc w:val="center"/>
              <w:rPr>
                <w:rFonts w:ascii="方正仿宋_GBK" w:eastAsia="方正仿宋_GBK" w:hAnsiTheme="majorEastAsia" w:cs="宋体"/>
                <w:b/>
                <w:bCs/>
                <w:kern w:val="0"/>
                <w:sz w:val="22"/>
              </w:rPr>
            </w:pPr>
            <w:r>
              <w:rPr>
                <w:rFonts w:ascii="方正仿宋_GBK" w:eastAsia="方正仿宋_GBK" w:hAnsiTheme="majorEastAsia" w:cs="宋体" w:hint="eastAsia"/>
                <w:b/>
                <w:bCs/>
                <w:kern w:val="0"/>
                <w:sz w:val="22"/>
              </w:rPr>
              <w:t>项</w:t>
            </w:r>
            <w:r>
              <w:rPr>
                <w:rFonts w:ascii="方正仿宋_GBK" w:eastAsia="方正仿宋_GBK" w:hAnsiTheme="majorEastAsia" w:cs="宋体" w:hint="eastAsia"/>
                <w:b/>
                <w:bCs/>
                <w:kern w:val="0"/>
                <w:sz w:val="22"/>
              </w:rPr>
              <w:t xml:space="preserve">   </w:t>
            </w:r>
            <w:r>
              <w:rPr>
                <w:rFonts w:ascii="方正仿宋_GBK" w:eastAsia="方正仿宋_GBK" w:hAnsiTheme="majorEastAsia" w:cs="宋体" w:hint="eastAsia"/>
                <w:b/>
                <w:bCs/>
                <w:kern w:val="0"/>
                <w:sz w:val="22"/>
              </w:rPr>
              <w:t>目</w:t>
            </w: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rsidR="001415A3" w:rsidRDefault="007D2755">
            <w:pPr>
              <w:widowControl/>
              <w:jc w:val="center"/>
              <w:rPr>
                <w:rFonts w:ascii="方正仿宋_GBK" w:eastAsia="方正仿宋_GBK" w:hAnsiTheme="majorEastAsia" w:cs="宋体"/>
                <w:b/>
                <w:bCs/>
                <w:kern w:val="0"/>
                <w:sz w:val="22"/>
              </w:rPr>
            </w:pPr>
            <w:r>
              <w:rPr>
                <w:rFonts w:ascii="方正仿宋_GBK" w:eastAsia="方正仿宋_GBK" w:hAnsiTheme="majorEastAsia" w:cs="宋体" w:hint="eastAsia"/>
                <w:b/>
                <w:bCs/>
                <w:kern w:val="0"/>
                <w:sz w:val="22"/>
              </w:rPr>
              <w:t>数量</w:t>
            </w:r>
          </w:p>
        </w:tc>
        <w:tc>
          <w:tcPr>
            <w:tcW w:w="5080" w:type="dxa"/>
            <w:tcBorders>
              <w:top w:val="single" w:sz="4" w:space="0" w:color="auto"/>
              <w:left w:val="single" w:sz="4" w:space="0" w:color="auto"/>
              <w:bottom w:val="single" w:sz="4" w:space="0" w:color="auto"/>
              <w:right w:val="single" w:sz="4" w:space="0" w:color="auto"/>
            </w:tcBorders>
            <w:shd w:val="clear" w:color="auto" w:fill="auto"/>
            <w:vAlign w:val="center"/>
          </w:tcPr>
          <w:p w:rsidR="001415A3" w:rsidRDefault="007D2755">
            <w:pPr>
              <w:widowControl/>
              <w:jc w:val="center"/>
              <w:rPr>
                <w:rFonts w:ascii="方正仿宋_GBK" w:eastAsia="方正仿宋_GBK" w:hAnsiTheme="majorEastAsia" w:cs="宋体"/>
                <w:b/>
                <w:bCs/>
                <w:kern w:val="0"/>
                <w:sz w:val="22"/>
              </w:rPr>
            </w:pPr>
            <w:r>
              <w:rPr>
                <w:rFonts w:ascii="方正仿宋_GBK" w:eastAsia="方正仿宋_GBK" w:hAnsiTheme="majorEastAsia" w:cs="宋体" w:hint="eastAsia"/>
                <w:b/>
                <w:bCs/>
                <w:kern w:val="0"/>
                <w:sz w:val="22"/>
              </w:rPr>
              <w:t>价值（金额单位：万元）</w:t>
            </w:r>
          </w:p>
        </w:tc>
      </w:tr>
      <w:tr w:rsidR="001415A3">
        <w:trPr>
          <w:trHeight w:val="9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1415A3" w:rsidRDefault="007D2755">
            <w:pPr>
              <w:widowControl/>
              <w:jc w:val="center"/>
              <w:rPr>
                <w:rFonts w:ascii="方正仿宋_GBK" w:eastAsia="方正仿宋_GBK" w:hAnsiTheme="majorEastAsia" w:cs="宋体"/>
                <w:kern w:val="0"/>
                <w:sz w:val="22"/>
              </w:rPr>
            </w:pPr>
            <w:r>
              <w:rPr>
                <w:rFonts w:ascii="方正仿宋_GBK" w:eastAsia="方正仿宋_GBK" w:hAnsiTheme="majorEastAsia" w:cs="宋体" w:hint="eastAsia"/>
                <w:kern w:val="0"/>
                <w:sz w:val="22"/>
              </w:rPr>
              <w:t>资产总额</w:t>
            </w: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rsidR="001415A3" w:rsidRDefault="007D2755">
            <w:pPr>
              <w:widowControl/>
              <w:jc w:val="center"/>
              <w:rPr>
                <w:rFonts w:ascii="方正仿宋_GBK" w:eastAsia="方正仿宋_GBK" w:hAnsiTheme="majorEastAsia" w:cs="宋体"/>
                <w:kern w:val="0"/>
                <w:sz w:val="22"/>
              </w:rPr>
            </w:pPr>
            <w:r>
              <w:rPr>
                <w:rFonts w:ascii="方正仿宋_GBK" w:eastAsia="方正仿宋_GBK" w:hAnsiTheme="majorEastAsia" w:cs="宋体" w:hint="eastAsia"/>
                <w:kern w:val="0"/>
                <w:sz w:val="22"/>
              </w:rPr>
              <w:t>——</w:t>
            </w:r>
          </w:p>
        </w:tc>
        <w:tc>
          <w:tcPr>
            <w:tcW w:w="5080" w:type="dxa"/>
            <w:tcBorders>
              <w:top w:val="single" w:sz="4" w:space="0" w:color="auto"/>
              <w:left w:val="single" w:sz="4" w:space="0" w:color="auto"/>
              <w:bottom w:val="single" w:sz="4" w:space="0" w:color="auto"/>
              <w:right w:val="single" w:sz="4" w:space="0" w:color="auto"/>
            </w:tcBorders>
            <w:shd w:val="clear" w:color="auto" w:fill="auto"/>
            <w:vAlign w:val="center"/>
          </w:tcPr>
          <w:p w:rsidR="001415A3" w:rsidRDefault="007D2755">
            <w:pPr>
              <w:widowControl/>
              <w:jc w:val="center"/>
              <w:rPr>
                <w:rFonts w:ascii="方正仿宋_GBK" w:eastAsia="方正仿宋_GBK" w:hAnsiTheme="majorEastAsia" w:cs="宋体"/>
                <w:kern w:val="0"/>
                <w:sz w:val="22"/>
              </w:rPr>
            </w:pPr>
            <w:r>
              <w:rPr>
                <w:rFonts w:ascii="方正仿宋_GBK" w:eastAsia="方正仿宋_GBK" w:hAnsiTheme="majorEastAsia" w:cs="宋体" w:hint="eastAsia"/>
                <w:kern w:val="0"/>
                <w:sz w:val="22"/>
              </w:rPr>
              <w:t>690.69</w:t>
            </w:r>
          </w:p>
        </w:tc>
      </w:tr>
      <w:tr w:rsidR="001415A3">
        <w:trPr>
          <w:trHeight w:val="9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1415A3" w:rsidRDefault="007D2755">
            <w:pPr>
              <w:widowControl/>
              <w:jc w:val="left"/>
              <w:rPr>
                <w:rFonts w:ascii="方正仿宋_GBK" w:eastAsia="方正仿宋_GBK" w:hAnsiTheme="majorEastAsia" w:cs="宋体"/>
                <w:kern w:val="0"/>
                <w:sz w:val="22"/>
              </w:rPr>
            </w:pPr>
            <w:r>
              <w:rPr>
                <w:rFonts w:ascii="方正仿宋_GBK" w:eastAsia="方正仿宋_GBK" w:hAnsiTheme="majorEastAsia" w:cs="宋体" w:hint="eastAsia"/>
                <w:kern w:val="0"/>
                <w:sz w:val="22"/>
              </w:rPr>
              <w:t>1</w:t>
            </w:r>
            <w:r>
              <w:rPr>
                <w:rFonts w:ascii="方正仿宋_GBK" w:eastAsia="方正仿宋_GBK" w:hAnsiTheme="majorEastAsia" w:cs="宋体" w:hint="eastAsia"/>
                <w:kern w:val="0"/>
                <w:sz w:val="22"/>
              </w:rPr>
              <w:t>、房屋（平方米）</w:t>
            </w: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rsidR="001415A3" w:rsidRDefault="001415A3">
            <w:pPr>
              <w:widowControl/>
              <w:jc w:val="center"/>
              <w:rPr>
                <w:rFonts w:ascii="方正仿宋_GBK" w:eastAsia="方正仿宋_GBK" w:hAnsiTheme="majorEastAsia" w:cs="宋体"/>
                <w:kern w:val="0"/>
                <w:sz w:val="22"/>
              </w:rPr>
            </w:pPr>
          </w:p>
        </w:tc>
        <w:tc>
          <w:tcPr>
            <w:tcW w:w="5080" w:type="dxa"/>
            <w:tcBorders>
              <w:top w:val="single" w:sz="4" w:space="0" w:color="auto"/>
              <w:left w:val="single" w:sz="4" w:space="0" w:color="auto"/>
              <w:bottom w:val="single" w:sz="4" w:space="0" w:color="auto"/>
              <w:right w:val="single" w:sz="4" w:space="0" w:color="auto"/>
            </w:tcBorders>
            <w:shd w:val="clear" w:color="auto" w:fill="auto"/>
            <w:vAlign w:val="center"/>
          </w:tcPr>
          <w:p w:rsidR="001415A3" w:rsidRDefault="001415A3">
            <w:pPr>
              <w:widowControl/>
              <w:jc w:val="center"/>
              <w:rPr>
                <w:rFonts w:ascii="方正仿宋_GBK" w:eastAsia="方正仿宋_GBK" w:hAnsiTheme="majorEastAsia" w:cs="宋体"/>
                <w:kern w:val="0"/>
                <w:sz w:val="22"/>
              </w:rPr>
            </w:pPr>
          </w:p>
        </w:tc>
      </w:tr>
      <w:tr w:rsidR="001415A3">
        <w:trPr>
          <w:trHeight w:val="9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1415A3" w:rsidRDefault="007D2755">
            <w:pPr>
              <w:widowControl/>
              <w:jc w:val="left"/>
              <w:rPr>
                <w:rFonts w:ascii="方正仿宋_GBK" w:eastAsia="方正仿宋_GBK" w:hAnsiTheme="majorEastAsia" w:cs="宋体"/>
                <w:kern w:val="0"/>
                <w:sz w:val="22"/>
              </w:rPr>
            </w:pPr>
            <w:r>
              <w:rPr>
                <w:rFonts w:ascii="方正仿宋_GBK" w:eastAsia="方正仿宋_GBK" w:hAnsiTheme="majorEastAsia" w:cs="宋体" w:hint="eastAsia"/>
                <w:kern w:val="0"/>
                <w:sz w:val="22"/>
              </w:rPr>
              <w:lastRenderedPageBreak/>
              <w:t xml:space="preserve">   </w:t>
            </w:r>
            <w:r>
              <w:rPr>
                <w:rFonts w:ascii="方正仿宋_GBK" w:eastAsia="方正仿宋_GBK" w:hAnsiTheme="majorEastAsia" w:cs="宋体" w:hint="eastAsia"/>
                <w:kern w:val="0"/>
                <w:sz w:val="22"/>
              </w:rPr>
              <w:t>其中：办公用房（平方米）</w:t>
            </w: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rsidR="001415A3" w:rsidRDefault="001415A3">
            <w:pPr>
              <w:widowControl/>
              <w:jc w:val="center"/>
              <w:rPr>
                <w:rFonts w:ascii="方正仿宋_GBK" w:eastAsia="方正仿宋_GBK" w:hAnsiTheme="majorEastAsia" w:cs="宋体"/>
                <w:kern w:val="0"/>
                <w:sz w:val="22"/>
              </w:rPr>
            </w:pPr>
          </w:p>
        </w:tc>
        <w:tc>
          <w:tcPr>
            <w:tcW w:w="5080" w:type="dxa"/>
            <w:tcBorders>
              <w:top w:val="single" w:sz="4" w:space="0" w:color="auto"/>
              <w:left w:val="single" w:sz="4" w:space="0" w:color="auto"/>
              <w:bottom w:val="single" w:sz="4" w:space="0" w:color="auto"/>
              <w:right w:val="single" w:sz="4" w:space="0" w:color="auto"/>
            </w:tcBorders>
            <w:shd w:val="clear" w:color="auto" w:fill="auto"/>
            <w:vAlign w:val="center"/>
          </w:tcPr>
          <w:p w:rsidR="001415A3" w:rsidRDefault="001415A3">
            <w:pPr>
              <w:widowControl/>
              <w:jc w:val="center"/>
              <w:rPr>
                <w:rFonts w:ascii="方正仿宋_GBK" w:eastAsia="方正仿宋_GBK" w:hAnsiTheme="majorEastAsia" w:cs="宋体"/>
                <w:kern w:val="0"/>
                <w:sz w:val="22"/>
              </w:rPr>
            </w:pPr>
          </w:p>
        </w:tc>
      </w:tr>
      <w:tr w:rsidR="001415A3">
        <w:trPr>
          <w:trHeight w:val="9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1415A3" w:rsidRDefault="007D2755">
            <w:pPr>
              <w:widowControl/>
              <w:jc w:val="left"/>
              <w:rPr>
                <w:rFonts w:ascii="方正仿宋_GBK" w:eastAsia="方正仿宋_GBK" w:hAnsiTheme="majorEastAsia" w:cs="宋体"/>
                <w:kern w:val="0"/>
                <w:sz w:val="22"/>
              </w:rPr>
            </w:pPr>
            <w:r>
              <w:rPr>
                <w:rFonts w:ascii="方正仿宋_GBK" w:eastAsia="方正仿宋_GBK" w:hAnsiTheme="majorEastAsia" w:cs="宋体" w:hint="eastAsia"/>
                <w:kern w:val="0"/>
                <w:sz w:val="22"/>
              </w:rPr>
              <w:t>2</w:t>
            </w:r>
            <w:r>
              <w:rPr>
                <w:rFonts w:ascii="方正仿宋_GBK" w:eastAsia="方正仿宋_GBK" w:hAnsiTheme="majorEastAsia" w:cs="宋体" w:hint="eastAsia"/>
                <w:kern w:val="0"/>
                <w:sz w:val="22"/>
              </w:rPr>
              <w:t>、车辆（台、辆）</w:t>
            </w: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rsidR="001415A3" w:rsidRDefault="007D2755">
            <w:pPr>
              <w:widowControl/>
              <w:jc w:val="center"/>
              <w:rPr>
                <w:rFonts w:ascii="方正仿宋_GBK" w:eastAsia="方正仿宋_GBK" w:hAnsiTheme="majorEastAsia" w:cs="宋体"/>
                <w:kern w:val="0"/>
                <w:sz w:val="22"/>
              </w:rPr>
            </w:pPr>
            <w:r>
              <w:rPr>
                <w:rFonts w:ascii="方正仿宋_GBK" w:eastAsia="方正仿宋_GBK" w:hAnsiTheme="majorEastAsia" w:cs="宋体" w:hint="eastAsia"/>
                <w:kern w:val="0"/>
                <w:sz w:val="22"/>
              </w:rPr>
              <w:t>65</w:t>
            </w:r>
          </w:p>
        </w:tc>
        <w:tc>
          <w:tcPr>
            <w:tcW w:w="5080" w:type="dxa"/>
            <w:tcBorders>
              <w:top w:val="single" w:sz="4" w:space="0" w:color="auto"/>
              <w:left w:val="single" w:sz="4" w:space="0" w:color="auto"/>
              <w:bottom w:val="single" w:sz="4" w:space="0" w:color="auto"/>
              <w:right w:val="single" w:sz="4" w:space="0" w:color="auto"/>
            </w:tcBorders>
            <w:shd w:val="clear" w:color="auto" w:fill="auto"/>
            <w:vAlign w:val="center"/>
          </w:tcPr>
          <w:p w:rsidR="001415A3" w:rsidRDefault="007D2755">
            <w:pPr>
              <w:widowControl/>
              <w:jc w:val="center"/>
              <w:rPr>
                <w:rFonts w:ascii="方正仿宋_GBK" w:eastAsia="方正仿宋_GBK" w:hAnsiTheme="majorEastAsia" w:cs="宋体"/>
                <w:kern w:val="0"/>
                <w:sz w:val="22"/>
              </w:rPr>
            </w:pPr>
            <w:r>
              <w:rPr>
                <w:rFonts w:ascii="方正仿宋_GBK" w:eastAsia="方正仿宋_GBK" w:hAnsiTheme="majorEastAsia" w:cs="宋体" w:hint="eastAsia"/>
                <w:kern w:val="0"/>
                <w:sz w:val="22"/>
              </w:rPr>
              <w:t>482.57</w:t>
            </w:r>
          </w:p>
        </w:tc>
      </w:tr>
      <w:tr w:rsidR="001415A3">
        <w:trPr>
          <w:trHeight w:val="9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1415A3" w:rsidRDefault="007D2755">
            <w:pPr>
              <w:widowControl/>
              <w:jc w:val="left"/>
              <w:rPr>
                <w:rFonts w:ascii="方正仿宋_GBK" w:eastAsia="方正仿宋_GBK" w:hAnsiTheme="majorEastAsia" w:cs="宋体"/>
                <w:kern w:val="0"/>
                <w:sz w:val="22"/>
              </w:rPr>
            </w:pPr>
            <w:r>
              <w:rPr>
                <w:rFonts w:ascii="方正仿宋_GBK" w:eastAsia="方正仿宋_GBK" w:hAnsiTheme="majorEastAsia" w:cs="宋体" w:hint="eastAsia"/>
                <w:kern w:val="0"/>
                <w:sz w:val="22"/>
              </w:rPr>
              <w:t>3</w:t>
            </w:r>
            <w:r>
              <w:rPr>
                <w:rFonts w:ascii="方正仿宋_GBK" w:eastAsia="方正仿宋_GBK" w:hAnsiTheme="majorEastAsia" w:cs="宋体" w:hint="eastAsia"/>
                <w:kern w:val="0"/>
                <w:sz w:val="22"/>
              </w:rPr>
              <w:t>、单价在</w:t>
            </w:r>
            <w:r>
              <w:rPr>
                <w:rFonts w:ascii="方正仿宋_GBK" w:eastAsia="方正仿宋_GBK" w:hAnsiTheme="majorEastAsia" w:cs="宋体" w:hint="eastAsia"/>
                <w:kern w:val="0"/>
                <w:sz w:val="22"/>
              </w:rPr>
              <w:t>20</w:t>
            </w:r>
            <w:r>
              <w:rPr>
                <w:rFonts w:ascii="方正仿宋_GBK" w:eastAsia="方正仿宋_GBK" w:hAnsiTheme="majorEastAsia" w:cs="宋体" w:hint="eastAsia"/>
                <w:kern w:val="0"/>
                <w:sz w:val="22"/>
              </w:rPr>
              <w:t>万元以上的设备</w:t>
            </w: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rsidR="001415A3" w:rsidRDefault="001415A3">
            <w:pPr>
              <w:widowControl/>
              <w:jc w:val="center"/>
              <w:rPr>
                <w:rFonts w:ascii="方正仿宋_GBK" w:eastAsia="方正仿宋_GBK" w:hAnsiTheme="majorEastAsia" w:cs="宋体"/>
                <w:kern w:val="0"/>
                <w:sz w:val="22"/>
              </w:rPr>
            </w:pPr>
          </w:p>
        </w:tc>
        <w:tc>
          <w:tcPr>
            <w:tcW w:w="5080" w:type="dxa"/>
            <w:tcBorders>
              <w:top w:val="single" w:sz="4" w:space="0" w:color="auto"/>
              <w:left w:val="single" w:sz="4" w:space="0" w:color="auto"/>
              <w:bottom w:val="single" w:sz="4" w:space="0" w:color="auto"/>
              <w:right w:val="single" w:sz="4" w:space="0" w:color="auto"/>
            </w:tcBorders>
            <w:shd w:val="clear" w:color="auto" w:fill="auto"/>
            <w:vAlign w:val="center"/>
          </w:tcPr>
          <w:p w:rsidR="001415A3" w:rsidRDefault="001415A3">
            <w:pPr>
              <w:widowControl/>
              <w:jc w:val="center"/>
              <w:rPr>
                <w:rFonts w:ascii="方正仿宋_GBK" w:eastAsia="方正仿宋_GBK" w:hAnsiTheme="majorEastAsia" w:cs="宋体"/>
                <w:kern w:val="0"/>
                <w:sz w:val="22"/>
              </w:rPr>
            </w:pPr>
          </w:p>
        </w:tc>
      </w:tr>
      <w:tr w:rsidR="001415A3">
        <w:trPr>
          <w:trHeight w:val="9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1415A3" w:rsidRDefault="007D2755">
            <w:pPr>
              <w:widowControl/>
              <w:jc w:val="left"/>
              <w:rPr>
                <w:rFonts w:ascii="方正仿宋_GBK" w:eastAsia="方正仿宋_GBK" w:hAnsiTheme="majorEastAsia" w:cs="宋体"/>
                <w:kern w:val="0"/>
                <w:sz w:val="22"/>
              </w:rPr>
            </w:pPr>
            <w:r>
              <w:rPr>
                <w:rFonts w:ascii="方正仿宋_GBK" w:eastAsia="方正仿宋_GBK" w:hAnsiTheme="majorEastAsia" w:cs="宋体" w:hint="eastAsia"/>
                <w:kern w:val="0"/>
                <w:sz w:val="22"/>
              </w:rPr>
              <w:t>4</w:t>
            </w:r>
            <w:r>
              <w:rPr>
                <w:rFonts w:ascii="方正仿宋_GBK" w:eastAsia="方正仿宋_GBK" w:hAnsiTheme="majorEastAsia" w:cs="宋体" w:hint="eastAsia"/>
                <w:kern w:val="0"/>
                <w:sz w:val="22"/>
              </w:rPr>
              <w:t>、其他固定资产</w:t>
            </w: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rsidR="001415A3" w:rsidRDefault="001415A3">
            <w:pPr>
              <w:widowControl/>
              <w:jc w:val="center"/>
              <w:rPr>
                <w:rFonts w:ascii="方正仿宋_GBK" w:eastAsia="方正仿宋_GBK" w:hAnsiTheme="majorEastAsia" w:cs="宋体"/>
                <w:kern w:val="0"/>
                <w:sz w:val="22"/>
              </w:rPr>
            </w:pPr>
          </w:p>
        </w:tc>
        <w:tc>
          <w:tcPr>
            <w:tcW w:w="5080" w:type="dxa"/>
            <w:tcBorders>
              <w:top w:val="single" w:sz="4" w:space="0" w:color="auto"/>
              <w:left w:val="single" w:sz="4" w:space="0" w:color="auto"/>
              <w:bottom w:val="single" w:sz="4" w:space="0" w:color="auto"/>
              <w:right w:val="single" w:sz="4" w:space="0" w:color="auto"/>
            </w:tcBorders>
            <w:shd w:val="clear" w:color="auto" w:fill="auto"/>
            <w:vAlign w:val="center"/>
          </w:tcPr>
          <w:p w:rsidR="001415A3" w:rsidRDefault="007D2755">
            <w:pPr>
              <w:widowControl/>
              <w:jc w:val="center"/>
              <w:rPr>
                <w:rFonts w:ascii="方正仿宋_GBK" w:eastAsia="方正仿宋_GBK" w:hAnsiTheme="majorEastAsia" w:cs="宋体"/>
                <w:kern w:val="0"/>
                <w:sz w:val="22"/>
              </w:rPr>
            </w:pPr>
            <w:r>
              <w:rPr>
                <w:rFonts w:ascii="方正仿宋_GBK" w:eastAsia="方正仿宋_GBK" w:hAnsiTheme="majorEastAsia" w:cs="宋体" w:hint="eastAsia"/>
                <w:kern w:val="0"/>
                <w:sz w:val="22"/>
              </w:rPr>
              <w:t>208.12</w:t>
            </w:r>
          </w:p>
        </w:tc>
      </w:tr>
    </w:tbl>
    <w:p w:rsidR="001415A3" w:rsidRDefault="007D2755">
      <w:pPr>
        <w:spacing w:line="600" w:lineRule="exact"/>
        <w:ind w:firstLineChars="196" w:firstLine="630"/>
        <w:rPr>
          <w:rFonts w:ascii="楷体" w:eastAsia="楷体" w:hAnsi="楷体" w:cs="Times New Roman"/>
          <w:b/>
          <w:color w:val="000000" w:themeColor="text1"/>
          <w:sz w:val="32"/>
          <w:szCs w:val="32"/>
        </w:rPr>
      </w:pPr>
      <w:r>
        <w:rPr>
          <w:rFonts w:ascii="楷体" w:eastAsia="楷体" w:hAnsi="楷体" w:cs="Times New Roman"/>
          <w:b/>
          <w:color w:val="000000" w:themeColor="text1"/>
          <w:sz w:val="32"/>
          <w:szCs w:val="32"/>
        </w:rPr>
        <w:t>（十）其他需要说明的情况</w:t>
      </w:r>
    </w:p>
    <w:p w:rsidR="001415A3" w:rsidRDefault="007D2755">
      <w:pPr>
        <w:spacing w:line="600" w:lineRule="exact"/>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无其他需要说明的事项</w:t>
      </w:r>
      <w:r>
        <w:rPr>
          <w:rFonts w:ascii="仿宋" w:eastAsia="仿宋" w:hAnsi="仿宋" w:cs="Times New Roman" w:hint="eastAsia"/>
          <w:color w:val="000000" w:themeColor="text1"/>
          <w:sz w:val="32"/>
          <w:szCs w:val="32"/>
        </w:rPr>
        <w:t>。</w:t>
      </w:r>
    </w:p>
    <w:p w:rsidR="001415A3" w:rsidRDefault="007D2755">
      <w:pPr>
        <w:autoSpaceDE w:val="0"/>
        <w:autoSpaceDN w:val="0"/>
        <w:adjustRightInd w:val="0"/>
        <w:spacing w:line="600" w:lineRule="exact"/>
        <w:ind w:left="198" w:firstLineChars="200" w:firstLine="640"/>
        <w:jc w:val="left"/>
        <w:rPr>
          <w:rFonts w:ascii="黑体" w:eastAsia="黑体" w:hAnsiTheme="majorEastAsia" w:cs="Times New Roman"/>
          <w:bCs/>
          <w:sz w:val="32"/>
          <w:szCs w:val="32"/>
        </w:rPr>
      </w:pPr>
      <w:r>
        <w:rPr>
          <w:rFonts w:ascii="黑体" w:eastAsia="黑体" w:hAnsiTheme="majorEastAsia" w:cs="Times New Roman" w:hint="eastAsia"/>
          <w:bCs/>
          <w:sz w:val="32"/>
          <w:szCs w:val="32"/>
        </w:rPr>
        <w:t>四、名词解释</w:t>
      </w:r>
    </w:p>
    <w:p w:rsidR="001415A3" w:rsidRDefault="007D2755">
      <w:pPr>
        <w:spacing w:line="600" w:lineRule="exact"/>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（一）基本支出：是指为保障机构正常运转、完成日常工作任务而发生的人员支出和公用支出。</w:t>
      </w:r>
    </w:p>
    <w:p w:rsidR="001415A3" w:rsidRDefault="007D2755">
      <w:pPr>
        <w:spacing w:line="600" w:lineRule="exact"/>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（二）项目支出：是指在基本支出之外为完成特定的行政工作任务或事业发展目标所发生的支出。</w:t>
      </w:r>
    </w:p>
    <w:p w:rsidR="001415A3" w:rsidRDefault="007D2755">
      <w:pPr>
        <w:spacing w:line="600" w:lineRule="exact"/>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（三）其他资本性支出：是指用于购置固定资产、战备性和应急性储备、土地和无形资产，以及构建基础设施、大型修缮和财政支持企业更新改造所发生的支出。</w:t>
      </w:r>
    </w:p>
    <w:p w:rsidR="001415A3" w:rsidRDefault="007D2755">
      <w:pPr>
        <w:spacing w:line="600" w:lineRule="exact"/>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（四）“三公”经费：指部门用财政拨款安排的因公出国（境）费、公务用车购置及运行费和公务接待费。其中公务用车购置及运行费包括公务用车购置支出（含车辆购置税）及租用费、燃料费、</w:t>
      </w:r>
      <w:r>
        <w:rPr>
          <w:rFonts w:ascii="仿宋" w:eastAsia="仿宋" w:hAnsi="仿宋" w:cs="Times New Roman" w:hint="eastAsia"/>
          <w:color w:val="000000" w:themeColor="text1"/>
          <w:sz w:val="32"/>
          <w:szCs w:val="32"/>
        </w:rPr>
        <w:lastRenderedPageBreak/>
        <w:t>维修费、过路过桥费、保险费等支出。</w:t>
      </w:r>
    </w:p>
    <w:p w:rsidR="001415A3" w:rsidRDefault="007D2755">
      <w:pPr>
        <w:spacing w:line="600" w:lineRule="exact"/>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（五）机关运行经费：指为保障单位运行购买货物和服务的各项资金，包括办公及印刷费、邮电费、差旅费、会议费、福利费、日常维修费、专用材料以及一般设备购置费、办公用房</w:t>
      </w:r>
      <w:r>
        <w:rPr>
          <w:rFonts w:ascii="仿宋" w:eastAsia="仿宋" w:hAnsi="仿宋" w:cs="Times New Roman" w:hint="eastAsia"/>
          <w:color w:val="000000" w:themeColor="text1"/>
          <w:sz w:val="32"/>
          <w:szCs w:val="32"/>
        </w:rPr>
        <w:t>水电费、取暖费、物业费、公务用车运行维护费以及其他费用。</w:t>
      </w:r>
    </w:p>
    <w:p w:rsidR="001415A3" w:rsidRDefault="007D2755">
      <w:pPr>
        <w:spacing w:line="600" w:lineRule="exact"/>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（六）财政拨款收入：本年度从本级财政部门取得的财政拨款，包括一般公共财政拨款和政府性基金预算财政拨款。</w:t>
      </w:r>
    </w:p>
    <w:p w:rsidR="001415A3" w:rsidRDefault="007D2755">
      <w:pPr>
        <w:spacing w:line="600" w:lineRule="exact"/>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（七）年初结转和结余：指以前年度尚未完成、结转到本年仍按原规定用途继续使用的资金。</w:t>
      </w:r>
    </w:p>
    <w:p w:rsidR="001415A3" w:rsidRDefault="007D2755">
      <w:pPr>
        <w:spacing w:line="600" w:lineRule="exact"/>
        <w:ind w:firstLineChars="200" w:firstLine="640"/>
        <w:rPr>
          <w:rFonts w:ascii="仿宋" w:eastAsia="仿宋" w:hAnsi="仿宋" w:cs="仿宋"/>
          <w:sz w:val="32"/>
          <w:szCs w:val="32"/>
        </w:rPr>
      </w:pPr>
      <w:r>
        <w:rPr>
          <w:rFonts w:ascii="仿宋" w:eastAsia="仿宋" w:hAnsi="仿宋" w:cs="Times New Roman" w:hint="eastAsia"/>
          <w:color w:val="000000" w:themeColor="text1"/>
          <w:sz w:val="32"/>
          <w:szCs w:val="32"/>
        </w:rPr>
        <w:t>（八）年末结</w:t>
      </w:r>
      <w:bookmarkStart w:id="3" w:name="_GoBack"/>
      <w:bookmarkEnd w:id="3"/>
      <w:r>
        <w:rPr>
          <w:rFonts w:ascii="仿宋" w:eastAsia="仿宋" w:hAnsi="仿宋" w:cs="Times New Roman" w:hint="eastAsia"/>
          <w:color w:val="000000" w:themeColor="text1"/>
          <w:sz w:val="32"/>
          <w:szCs w:val="32"/>
        </w:rPr>
        <w:t>转和结余：指单位按有关</w:t>
      </w:r>
      <w:r>
        <w:rPr>
          <w:rFonts w:ascii="仿宋" w:eastAsia="仿宋" w:hAnsi="仿宋" w:cs="仿宋" w:hint="eastAsia"/>
          <w:sz w:val="32"/>
          <w:szCs w:val="32"/>
        </w:rPr>
        <w:t>规定结转到下年或以后年度继续使用的资金。</w:t>
      </w:r>
    </w:p>
    <w:sectPr w:rsidR="001415A3" w:rsidSect="001415A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755" w:rsidRDefault="007D2755" w:rsidP="004762A4">
      <w:r>
        <w:separator/>
      </w:r>
    </w:p>
  </w:endnote>
  <w:endnote w:type="continuationSeparator" w:id="1">
    <w:p w:rsidR="007D2755" w:rsidRDefault="007D2755" w:rsidP="004762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755" w:rsidRDefault="007D2755" w:rsidP="004762A4">
      <w:r>
        <w:separator/>
      </w:r>
    </w:p>
  </w:footnote>
  <w:footnote w:type="continuationSeparator" w:id="1">
    <w:p w:rsidR="007D2755" w:rsidRDefault="007D2755" w:rsidP="004762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032"/>
    <w:rsid w:val="00011AE7"/>
    <w:rsid w:val="00037AF6"/>
    <w:rsid w:val="00045A61"/>
    <w:rsid w:val="00053DB4"/>
    <w:rsid w:val="00075D5F"/>
    <w:rsid w:val="000B21E0"/>
    <w:rsid w:val="000C3A19"/>
    <w:rsid w:val="000E4F73"/>
    <w:rsid w:val="001066FE"/>
    <w:rsid w:val="00110FEB"/>
    <w:rsid w:val="001245BB"/>
    <w:rsid w:val="00127765"/>
    <w:rsid w:val="001415A3"/>
    <w:rsid w:val="00157266"/>
    <w:rsid w:val="00180ED1"/>
    <w:rsid w:val="00183DB0"/>
    <w:rsid w:val="00184343"/>
    <w:rsid w:val="0018479D"/>
    <w:rsid w:val="00192B69"/>
    <w:rsid w:val="001A7408"/>
    <w:rsid w:val="001B222F"/>
    <w:rsid w:val="001D67DF"/>
    <w:rsid w:val="00203FCB"/>
    <w:rsid w:val="002047DA"/>
    <w:rsid w:val="00223FC1"/>
    <w:rsid w:val="00235009"/>
    <w:rsid w:val="00241FD4"/>
    <w:rsid w:val="00251B12"/>
    <w:rsid w:val="002645FB"/>
    <w:rsid w:val="002652B4"/>
    <w:rsid w:val="00273ECA"/>
    <w:rsid w:val="00275EAA"/>
    <w:rsid w:val="00281918"/>
    <w:rsid w:val="00285908"/>
    <w:rsid w:val="00296113"/>
    <w:rsid w:val="00296BC3"/>
    <w:rsid w:val="002A2238"/>
    <w:rsid w:val="002A591B"/>
    <w:rsid w:val="002B6024"/>
    <w:rsid w:val="002F3E58"/>
    <w:rsid w:val="0030542C"/>
    <w:rsid w:val="00311B7A"/>
    <w:rsid w:val="00314AA3"/>
    <w:rsid w:val="00371B93"/>
    <w:rsid w:val="00387133"/>
    <w:rsid w:val="003A42AA"/>
    <w:rsid w:val="003A4525"/>
    <w:rsid w:val="003C1853"/>
    <w:rsid w:val="003D7267"/>
    <w:rsid w:val="003E1A7F"/>
    <w:rsid w:val="003F3783"/>
    <w:rsid w:val="003F6ED1"/>
    <w:rsid w:val="00416769"/>
    <w:rsid w:val="004215E9"/>
    <w:rsid w:val="00423EFA"/>
    <w:rsid w:val="004468A8"/>
    <w:rsid w:val="00451871"/>
    <w:rsid w:val="0046670A"/>
    <w:rsid w:val="00472923"/>
    <w:rsid w:val="0047432E"/>
    <w:rsid w:val="004762A4"/>
    <w:rsid w:val="0048444F"/>
    <w:rsid w:val="004A0773"/>
    <w:rsid w:val="004A7785"/>
    <w:rsid w:val="004E3066"/>
    <w:rsid w:val="004E74CD"/>
    <w:rsid w:val="00503846"/>
    <w:rsid w:val="00507ABF"/>
    <w:rsid w:val="005103AA"/>
    <w:rsid w:val="005104C6"/>
    <w:rsid w:val="00512D69"/>
    <w:rsid w:val="0051664F"/>
    <w:rsid w:val="0052189C"/>
    <w:rsid w:val="00527BA5"/>
    <w:rsid w:val="005328BA"/>
    <w:rsid w:val="00541A07"/>
    <w:rsid w:val="005629BE"/>
    <w:rsid w:val="00570276"/>
    <w:rsid w:val="00573562"/>
    <w:rsid w:val="005C0C90"/>
    <w:rsid w:val="005D42C0"/>
    <w:rsid w:val="005D555C"/>
    <w:rsid w:val="005E323A"/>
    <w:rsid w:val="00614A29"/>
    <w:rsid w:val="00615607"/>
    <w:rsid w:val="006355A7"/>
    <w:rsid w:val="006561CE"/>
    <w:rsid w:val="0068705E"/>
    <w:rsid w:val="006A0140"/>
    <w:rsid w:val="006A2A30"/>
    <w:rsid w:val="006B0F08"/>
    <w:rsid w:val="006C71D2"/>
    <w:rsid w:val="006F2433"/>
    <w:rsid w:val="0070593E"/>
    <w:rsid w:val="007169AB"/>
    <w:rsid w:val="00746D98"/>
    <w:rsid w:val="0075393C"/>
    <w:rsid w:val="007757EA"/>
    <w:rsid w:val="00776C08"/>
    <w:rsid w:val="00785359"/>
    <w:rsid w:val="007B4EE0"/>
    <w:rsid w:val="007B69F7"/>
    <w:rsid w:val="007C25D8"/>
    <w:rsid w:val="007D2755"/>
    <w:rsid w:val="007E1DA8"/>
    <w:rsid w:val="007F1C5C"/>
    <w:rsid w:val="007F6C26"/>
    <w:rsid w:val="00803B75"/>
    <w:rsid w:val="00814448"/>
    <w:rsid w:val="008244BE"/>
    <w:rsid w:val="00826D78"/>
    <w:rsid w:val="008332CF"/>
    <w:rsid w:val="008334AE"/>
    <w:rsid w:val="00836888"/>
    <w:rsid w:val="00836FED"/>
    <w:rsid w:val="00845CD2"/>
    <w:rsid w:val="008502D8"/>
    <w:rsid w:val="00852B0D"/>
    <w:rsid w:val="00861C1D"/>
    <w:rsid w:val="00863F91"/>
    <w:rsid w:val="00881692"/>
    <w:rsid w:val="008B3CC5"/>
    <w:rsid w:val="008C2BAF"/>
    <w:rsid w:val="008E4261"/>
    <w:rsid w:val="008F4662"/>
    <w:rsid w:val="00905D08"/>
    <w:rsid w:val="00925753"/>
    <w:rsid w:val="00934945"/>
    <w:rsid w:val="009605F3"/>
    <w:rsid w:val="00966C5C"/>
    <w:rsid w:val="00973104"/>
    <w:rsid w:val="009804E2"/>
    <w:rsid w:val="00980DCD"/>
    <w:rsid w:val="00986B70"/>
    <w:rsid w:val="00991745"/>
    <w:rsid w:val="009E2D26"/>
    <w:rsid w:val="00A359FE"/>
    <w:rsid w:val="00A36BAB"/>
    <w:rsid w:val="00A421CD"/>
    <w:rsid w:val="00A72D2E"/>
    <w:rsid w:val="00A80E26"/>
    <w:rsid w:val="00A852E3"/>
    <w:rsid w:val="00A911E7"/>
    <w:rsid w:val="00A917FF"/>
    <w:rsid w:val="00A939D9"/>
    <w:rsid w:val="00AC1EA8"/>
    <w:rsid w:val="00AD2445"/>
    <w:rsid w:val="00B00EE2"/>
    <w:rsid w:val="00B20712"/>
    <w:rsid w:val="00B24933"/>
    <w:rsid w:val="00B338CF"/>
    <w:rsid w:val="00B40CDC"/>
    <w:rsid w:val="00B43238"/>
    <w:rsid w:val="00B47803"/>
    <w:rsid w:val="00B52938"/>
    <w:rsid w:val="00B75216"/>
    <w:rsid w:val="00B86EC2"/>
    <w:rsid w:val="00B91D52"/>
    <w:rsid w:val="00BA1ACD"/>
    <w:rsid w:val="00BD24BE"/>
    <w:rsid w:val="00C216B6"/>
    <w:rsid w:val="00C4110E"/>
    <w:rsid w:val="00C52925"/>
    <w:rsid w:val="00C52C23"/>
    <w:rsid w:val="00C7261A"/>
    <w:rsid w:val="00C72978"/>
    <w:rsid w:val="00CA7176"/>
    <w:rsid w:val="00CB01EA"/>
    <w:rsid w:val="00CD2773"/>
    <w:rsid w:val="00CE143B"/>
    <w:rsid w:val="00CF00DB"/>
    <w:rsid w:val="00D13832"/>
    <w:rsid w:val="00D17F68"/>
    <w:rsid w:val="00D27285"/>
    <w:rsid w:val="00D310C9"/>
    <w:rsid w:val="00D3513E"/>
    <w:rsid w:val="00D504C5"/>
    <w:rsid w:val="00D53755"/>
    <w:rsid w:val="00D75F65"/>
    <w:rsid w:val="00D8163A"/>
    <w:rsid w:val="00D836C0"/>
    <w:rsid w:val="00D85A4C"/>
    <w:rsid w:val="00D85A89"/>
    <w:rsid w:val="00D900E6"/>
    <w:rsid w:val="00D9708D"/>
    <w:rsid w:val="00DE3C22"/>
    <w:rsid w:val="00DF0FCA"/>
    <w:rsid w:val="00E02CA1"/>
    <w:rsid w:val="00E04A7D"/>
    <w:rsid w:val="00E10CFF"/>
    <w:rsid w:val="00E14843"/>
    <w:rsid w:val="00E167C7"/>
    <w:rsid w:val="00E17304"/>
    <w:rsid w:val="00E40172"/>
    <w:rsid w:val="00E41811"/>
    <w:rsid w:val="00E44710"/>
    <w:rsid w:val="00E4508D"/>
    <w:rsid w:val="00E51648"/>
    <w:rsid w:val="00E62488"/>
    <w:rsid w:val="00E81411"/>
    <w:rsid w:val="00E8667B"/>
    <w:rsid w:val="00E920FB"/>
    <w:rsid w:val="00EC47F6"/>
    <w:rsid w:val="00EE1B43"/>
    <w:rsid w:val="00F153EF"/>
    <w:rsid w:val="00F16A11"/>
    <w:rsid w:val="00F16FF6"/>
    <w:rsid w:val="00F30C34"/>
    <w:rsid w:val="00F55FB6"/>
    <w:rsid w:val="00F66032"/>
    <w:rsid w:val="00F70DA3"/>
    <w:rsid w:val="00F958C2"/>
    <w:rsid w:val="08D60E4F"/>
    <w:rsid w:val="105B3069"/>
    <w:rsid w:val="12D8728C"/>
    <w:rsid w:val="15AA25AD"/>
    <w:rsid w:val="1A5E6C76"/>
    <w:rsid w:val="1A985E65"/>
    <w:rsid w:val="1B4E7A8C"/>
    <w:rsid w:val="1EB82403"/>
    <w:rsid w:val="26BE494E"/>
    <w:rsid w:val="2A572BC1"/>
    <w:rsid w:val="30174246"/>
    <w:rsid w:val="325318B2"/>
    <w:rsid w:val="4846496F"/>
    <w:rsid w:val="510D4461"/>
    <w:rsid w:val="571F03DC"/>
    <w:rsid w:val="7B9B78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5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415A3"/>
    <w:pPr>
      <w:tabs>
        <w:tab w:val="center" w:pos="4153"/>
        <w:tab w:val="right" w:pos="8306"/>
      </w:tabs>
      <w:snapToGrid w:val="0"/>
      <w:jc w:val="left"/>
    </w:pPr>
    <w:rPr>
      <w:rFonts w:ascii="Times New Roman" w:eastAsia="宋体" w:hAnsi="Times New Roman" w:cs="Times New Roman"/>
      <w:sz w:val="18"/>
      <w:szCs w:val="18"/>
    </w:rPr>
  </w:style>
  <w:style w:type="paragraph" w:styleId="a4">
    <w:name w:val="header"/>
    <w:basedOn w:val="a"/>
    <w:link w:val="Char0"/>
    <w:qFormat/>
    <w:rsid w:val="001415A3"/>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qFormat/>
    <w:rsid w:val="001415A3"/>
    <w:rPr>
      <w:rFonts w:ascii="Times New Roman" w:eastAsia="宋体" w:hAnsi="Times New Roman" w:cs="Times New Roman"/>
      <w:szCs w:val="24"/>
    </w:rPr>
  </w:style>
  <w:style w:type="paragraph" w:styleId="2">
    <w:name w:val="toc 2"/>
    <w:basedOn w:val="a"/>
    <w:next w:val="a"/>
    <w:qFormat/>
    <w:rsid w:val="001415A3"/>
    <w:pPr>
      <w:ind w:leftChars="200" w:left="420"/>
    </w:pPr>
    <w:rPr>
      <w:rFonts w:ascii="Times New Roman" w:eastAsia="宋体" w:hAnsi="Times New Roman" w:cs="Times New Roman"/>
      <w:szCs w:val="24"/>
    </w:rPr>
  </w:style>
  <w:style w:type="paragraph" w:styleId="a5">
    <w:name w:val="Normal (Web)"/>
    <w:basedOn w:val="a"/>
    <w:uiPriority w:val="99"/>
    <w:unhideWhenUsed/>
    <w:rsid w:val="001415A3"/>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qFormat/>
    <w:rsid w:val="001415A3"/>
    <w:rPr>
      <w:rFonts w:ascii="Times New Roman" w:eastAsia="宋体" w:hAnsi="Times New Roman" w:cs="Times New Roman"/>
      <w:sz w:val="18"/>
      <w:szCs w:val="18"/>
    </w:rPr>
  </w:style>
  <w:style w:type="character" w:customStyle="1" w:styleId="Char">
    <w:name w:val="页脚 Char"/>
    <w:basedOn w:val="a0"/>
    <w:link w:val="a3"/>
    <w:qFormat/>
    <w:rsid w:val="001415A3"/>
    <w:rPr>
      <w:rFonts w:ascii="Times New Roman" w:eastAsia="宋体" w:hAnsi="Times New Roman" w:cs="Times New Roman"/>
      <w:sz w:val="18"/>
      <w:szCs w:val="18"/>
    </w:rPr>
  </w:style>
  <w:style w:type="paragraph" w:styleId="a6">
    <w:name w:val="List Paragraph"/>
    <w:basedOn w:val="a"/>
    <w:uiPriority w:val="99"/>
    <w:unhideWhenUsed/>
    <w:rsid w:val="001415A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E168D22-4C88-4642-893A-AEF168CE27B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1022</Words>
  <Characters>5827</Characters>
  <Application>Microsoft Office Word</Application>
  <DocSecurity>0</DocSecurity>
  <Lines>48</Lines>
  <Paragraphs>13</Paragraphs>
  <ScaleCrop>false</ScaleCrop>
  <Company>中国微软</Company>
  <LinksUpToDate>false</LinksUpToDate>
  <CharactersWithSpaces>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微软用户</cp:lastModifiedBy>
  <cp:revision>195</cp:revision>
  <dcterms:created xsi:type="dcterms:W3CDTF">2017-01-13T03:22:00Z</dcterms:created>
  <dcterms:modified xsi:type="dcterms:W3CDTF">2017-11-06T09:44:00Z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